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936B2" w14:textId="5F3BEDD4" w:rsidR="00D000F4" w:rsidRPr="00004507" w:rsidRDefault="00D000F4" w:rsidP="00C15EA2">
      <w:pPr>
        <w:spacing w:line="276" w:lineRule="auto"/>
        <w:jc w:val="center"/>
        <w:rPr>
          <w:rFonts w:ascii="Arial" w:hAnsi="Arial" w:cs="Arial"/>
          <w:b/>
          <w:color w:val="000000" w:themeColor="text1"/>
          <w:lang w:val="en-US"/>
        </w:rPr>
      </w:pPr>
      <w:r w:rsidRPr="00004507">
        <w:rPr>
          <w:rFonts w:ascii="Arial" w:hAnsi="Arial" w:cs="Arial"/>
          <w:b/>
          <w:color w:val="000000" w:themeColor="text1"/>
          <w:lang w:val="en-US"/>
        </w:rPr>
        <w:t>P</w:t>
      </w:r>
      <w:r w:rsidR="004C5A77" w:rsidRPr="00004507">
        <w:rPr>
          <w:rFonts w:ascii="Arial" w:hAnsi="Arial" w:cs="Arial"/>
          <w:b/>
          <w:color w:val="000000" w:themeColor="text1"/>
          <w:lang w:val="en-US"/>
        </w:rPr>
        <w:t>araoxonase 1 (</w:t>
      </w:r>
      <w:r w:rsidR="004C5A77" w:rsidRPr="00004507">
        <w:rPr>
          <w:rFonts w:ascii="Arial" w:hAnsi="Arial" w:cs="Arial"/>
          <w:b/>
          <w:i/>
          <w:color w:val="000000" w:themeColor="text1"/>
          <w:lang w:val="en-US"/>
        </w:rPr>
        <w:t>PON1</w:t>
      </w:r>
      <w:r w:rsidR="004C5A77" w:rsidRPr="00004507">
        <w:rPr>
          <w:rFonts w:ascii="Arial" w:hAnsi="Arial" w:cs="Arial"/>
          <w:b/>
          <w:color w:val="000000" w:themeColor="text1"/>
          <w:lang w:val="en-US"/>
        </w:rPr>
        <w:t>)</w:t>
      </w:r>
      <w:r w:rsidRPr="00004507">
        <w:rPr>
          <w:rFonts w:ascii="Arial" w:hAnsi="Arial" w:cs="Arial"/>
          <w:b/>
          <w:color w:val="000000" w:themeColor="text1"/>
          <w:lang w:val="en-US"/>
        </w:rPr>
        <w:t xml:space="preserve"> promoter</w:t>
      </w:r>
      <w:r w:rsidR="00C708D5" w:rsidRPr="00004507">
        <w:rPr>
          <w:rFonts w:ascii="Arial" w:hAnsi="Arial" w:cs="Arial"/>
          <w:b/>
          <w:color w:val="000000" w:themeColor="text1"/>
          <w:lang w:val="en-US"/>
        </w:rPr>
        <w:t xml:space="preserve"> (</w:t>
      </w:r>
      <w:r w:rsidR="00C708D5" w:rsidRPr="00004507">
        <w:rPr>
          <w:rFonts w:ascii="Arial" w:hAnsi="Arial" w:cs="Arial"/>
          <w:b/>
          <w:i/>
          <w:color w:val="000000" w:themeColor="text1"/>
          <w:lang w:val="en-US"/>
        </w:rPr>
        <w:t>−</w:t>
      </w:r>
      <w:r w:rsidR="001B0B27" w:rsidRPr="00004507">
        <w:rPr>
          <w:rFonts w:ascii="Arial" w:hAnsi="Arial" w:cs="Arial"/>
          <w:b/>
          <w:i/>
          <w:color w:val="000000" w:themeColor="text1"/>
          <w:lang w:val="en-US"/>
        </w:rPr>
        <w:t>107T/C</w:t>
      </w:r>
      <w:r w:rsidR="001B0B27" w:rsidRPr="00004507">
        <w:rPr>
          <w:rFonts w:ascii="Arial" w:hAnsi="Arial" w:cs="Arial"/>
          <w:b/>
          <w:color w:val="000000" w:themeColor="text1"/>
          <w:lang w:val="en-US"/>
        </w:rPr>
        <w:t>)</w:t>
      </w:r>
      <w:r w:rsidRPr="00004507">
        <w:rPr>
          <w:rFonts w:ascii="Arial" w:hAnsi="Arial" w:cs="Arial"/>
          <w:b/>
          <w:color w:val="000000" w:themeColor="text1"/>
          <w:lang w:val="en-US"/>
        </w:rPr>
        <w:t xml:space="preserve"> and coding region </w:t>
      </w:r>
      <w:r w:rsidR="001B0B27" w:rsidRPr="00004507">
        <w:rPr>
          <w:rFonts w:ascii="Arial" w:hAnsi="Arial" w:cs="Arial"/>
          <w:b/>
          <w:color w:val="000000" w:themeColor="text1"/>
          <w:lang w:val="en-US"/>
        </w:rPr>
        <w:t>(</w:t>
      </w:r>
      <w:r w:rsidR="001B0B27" w:rsidRPr="00004507">
        <w:rPr>
          <w:rFonts w:ascii="Arial" w:hAnsi="Arial" w:cs="Arial"/>
          <w:b/>
          <w:i/>
          <w:color w:val="000000" w:themeColor="text1"/>
          <w:lang w:val="en-US"/>
        </w:rPr>
        <w:t>192Q/R</w:t>
      </w:r>
      <w:r w:rsidR="001B0B27" w:rsidRPr="00004507">
        <w:rPr>
          <w:rFonts w:ascii="Arial" w:hAnsi="Arial" w:cs="Arial"/>
          <w:b/>
          <w:color w:val="000000" w:themeColor="text1"/>
          <w:lang w:val="en-US"/>
        </w:rPr>
        <w:t xml:space="preserve"> and </w:t>
      </w:r>
      <w:r w:rsidR="001B0B27" w:rsidRPr="00004507">
        <w:rPr>
          <w:rFonts w:ascii="Arial" w:hAnsi="Arial" w:cs="Arial"/>
          <w:b/>
          <w:i/>
          <w:color w:val="000000" w:themeColor="text1"/>
          <w:lang w:val="en-US"/>
        </w:rPr>
        <w:t>55L/M</w:t>
      </w:r>
      <w:r w:rsidR="001B0B27" w:rsidRPr="00004507">
        <w:rPr>
          <w:rFonts w:ascii="Arial" w:hAnsi="Arial" w:cs="Arial"/>
          <w:b/>
          <w:color w:val="000000" w:themeColor="text1"/>
          <w:lang w:val="en-US"/>
        </w:rPr>
        <w:t xml:space="preserve">) </w:t>
      </w:r>
      <w:r w:rsidR="00077403">
        <w:rPr>
          <w:rFonts w:ascii="Arial" w:hAnsi="Arial" w:cs="Arial"/>
          <w:b/>
          <w:color w:val="000000" w:themeColor="text1"/>
          <w:lang w:val="en-US"/>
        </w:rPr>
        <w:t xml:space="preserve">genetic </w:t>
      </w:r>
      <w:r w:rsidR="00B86F32">
        <w:rPr>
          <w:rFonts w:ascii="Arial" w:hAnsi="Arial" w:cs="Arial"/>
          <w:b/>
          <w:color w:val="000000" w:themeColor="text1"/>
          <w:lang w:val="en-US"/>
        </w:rPr>
        <w:t xml:space="preserve">variations </w:t>
      </w:r>
      <w:r w:rsidRPr="00004507">
        <w:rPr>
          <w:rFonts w:ascii="Arial" w:hAnsi="Arial" w:cs="Arial"/>
          <w:b/>
          <w:color w:val="000000" w:themeColor="text1"/>
          <w:lang w:val="en-US"/>
        </w:rPr>
        <w:t>in pseudoexfoliation syndrome and pseudoexfoliative glaucoma risk</w:t>
      </w:r>
    </w:p>
    <w:p w14:paraId="15D38D9F" w14:textId="0AC189B2" w:rsidR="001B0B27" w:rsidRPr="00004507" w:rsidRDefault="001B0B27" w:rsidP="00C15EA2">
      <w:pPr>
        <w:spacing w:line="276" w:lineRule="auto"/>
        <w:jc w:val="center"/>
        <w:rPr>
          <w:rFonts w:ascii="Arial" w:hAnsi="Arial" w:cs="Arial"/>
          <w:b/>
          <w:color w:val="000000" w:themeColor="text1"/>
          <w:lang w:val="en-US"/>
        </w:rPr>
      </w:pPr>
    </w:p>
    <w:p w14:paraId="3DCC3314" w14:textId="77777777" w:rsidR="009A4B17" w:rsidRPr="00004507" w:rsidRDefault="009A4B17" w:rsidP="00C15EA2">
      <w:pPr>
        <w:spacing w:line="276" w:lineRule="auto"/>
        <w:jc w:val="center"/>
        <w:rPr>
          <w:rFonts w:ascii="Arial" w:hAnsi="Arial" w:cs="Arial"/>
          <w:b/>
          <w:color w:val="000000" w:themeColor="text1"/>
          <w:lang w:val="en-US"/>
        </w:rPr>
      </w:pPr>
    </w:p>
    <w:p w14:paraId="6B8E93B0" w14:textId="57C4B90D" w:rsidR="001B0B27" w:rsidRPr="00004507" w:rsidRDefault="001B0B27" w:rsidP="00C15EA2">
      <w:pPr>
        <w:spacing w:line="276" w:lineRule="auto"/>
        <w:jc w:val="center"/>
        <w:rPr>
          <w:rFonts w:ascii="Arial" w:hAnsi="Arial" w:cs="Arial"/>
          <w:b/>
          <w:color w:val="000000" w:themeColor="text1"/>
          <w:lang w:val="en-US"/>
        </w:rPr>
      </w:pPr>
    </w:p>
    <w:p w14:paraId="30FC1A24" w14:textId="6A48856D" w:rsidR="001B0B27" w:rsidRPr="00004507" w:rsidRDefault="001B0B27" w:rsidP="00C15EA2">
      <w:pPr>
        <w:spacing w:line="276" w:lineRule="auto"/>
        <w:jc w:val="center"/>
        <w:rPr>
          <w:rFonts w:ascii="Arial" w:hAnsi="Arial" w:cs="Arial"/>
          <w:color w:val="000000" w:themeColor="text1"/>
          <w:lang w:val="en-US"/>
        </w:rPr>
      </w:pPr>
      <w:proofErr w:type="spellStart"/>
      <w:r w:rsidRPr="00004507">
        <w:rPr>
          <w:rFonts w:ascii="Arial" w:hAnsi="Arial" w:cs="Arial"/>
          <w:color w:val="000000" w:themeColor="text1"/>
          <w:lang w:val="en-US"/>
        </w:rPr>
        <w:t>Birsen</w:t>
      </w:r>
      <w:proofErr w:type="spellEnd"/>
      <w:r w:rsidRPr="00004507">
        <w:rPr>
          <w:rFonts w:ascii="Arial" w:hAnsi="Arial" w:cs="Arial"/>
          <w:color w:val="000000" w:themeColor="text1"/>
          <w:lang w:val="en-US"/>
        </w:rPr>
        <w:t xml:space="preserve"> CAN DEMİRDÖĞEN</w:t>
      </w:r>
      <w:r w:rsidR="00404431" w:rsidRPr="00004507">
        <w:rPr>
          <w:rFonts w:ascii="Arial" w:hAnsi="Arial" w:cs="Arial"/>
          <w:color w:val="000000" w:themeColor="text1"/>
          <w:lang w:val="en-US"/>
        </w:rPr>
        <w:t>*</w:t>
      </w:r>
      <w:r w:rsidRPr="00004507">
        <w:rPr>
          <w:rFonts w:ascii="Arial" w:hAnsi="Arial" w:cs="Arial"/>
          <w:color w:val="000000" w:themeColor="text1"/>
          <w:lang w:val="en-US"/>
        </w:rPr>
        <w:t xml:space="preserve">, </w:t>
      </w:r>
      <w:proofErr w:type="spellStart"/>
      <w:r w:rsidR="003E7F5E" w:rsidRPr="00004507">
        <w:rPr>
          <w:rFonts w:ascii="Arial" w:hAnsi="Arial" w:cs="Arial"/>
          <w:color w:val="000000" w:themeColor="text1"/>
          <w:lang w:val="en-US"/>
        </w:rPr>
        <w:t>Canan</w:t>
      </w:r>
      <w:proofErr w:type="spellEnd"/>
      <w:r w:rsidR="003E7F5E" w:rsidRPr="00004507">
        <w:rPr>
          <w:rFonts w:ascii="Arial" w:hAnsi="Arial" w:cs="Arial"/>
          <w:color w:val="000000" w:themeColor="text1"/>
          <w:lang w:val="en-US"/>
        </w:rPr>
        <w:t xml:space="preserve"> KOÇAN AKÇİN, </w:t>
      </w:r>
      <w:proofErr w:type="spellStart"/>
      <w:r w:rsidR="007B58FA" w:rsidRPr="00004507">
        <w:rPr>
          <w:rFonts w:ascii="Arial" w:hAnsi="Arial" w:cs="Arial"/>
          <w:color w:val="000000" w:themeColor="text1"/>
          <w:lang w:val="en-US"/>
        </w:rPr>
        <w:t>Ezgi</w:t>
      </w:r>
      <w:proofErr w:type="spellEnd"/>
      <w:r w:rsidR="007B58FA" w:rsidRPr="00004507">
        <w:rPr>
          <w:rFonts w:ascii="Arial" w:hAnsi="Arial" w:cs="Arial"/>
          <w:color w:val="000000" w:themeColor="text1"/>
          <w:lang w:val="en-US"/>
        </w:rPr>
        <w:t xml:space="preserve"> GÖKSOY, </w:t>
      </w:r>
      <w:proofErr w:type="spellStart"/>
      <w:r w:rsidR="007B58FA" w:rsidRPr="00004507">
        <w:rPr>
          <w:rFonts w:ascii="Arial" w:hAnsi="Arial" w:cs="Arial"/>
          <w:color w:val="000000" w:themeColor="text1"/>
          <w:lang w:val="en-US"/>
        </w:rPr>
        <w:t>Gizem</w:t>
      </w:r>
      <w:proofErr w:type="spellEnd"/>
      <w:r w:rsidR="007B58FA" w:rsidRPr="00004507">
        <w:rPr>
          <w:rFonts w:ascii="Arial" w:hAnsi="Arial" w:cs="Arial"/>
          <w:color w:val="000000" w:themeColor="text1"/>
          <w:lang w:val="en-US"/>
        </w:rPr>
        <w:t xml:space="preserve"> YAKAR, </w:t>
      </w:r>
      <w:proofErr w:type="spellStart"/>
      <w:r w:rsidR="00AC2F88" w:rsidRPr="00004507">
        <w:rPr>
          <w:rFonts w:ascii="Arial" w:hAnsi="Arial" w:cs="Arial"/>
          <w:color w:val="000000" w:themeColor="text1"/>
          <w:lang w:val="en-US"/>
        </w:rPr>
        <w:t>Tuğçe</w:t>
      </w:r>
      <w:proofErr w:type="spellEnd"/>
      <w:r w:rsidR="00AC2F88" w:rsidRPr="00004507">
        <w:rPr>
          <w:rFonts w:ascii="Arial" w:hAnsi="Arial" w:cs="Arial"/>
          <w:color w:val="000000" w:themeColor="text1"/>
          <w:lang w:val="en-US"/>
        </w:rPr>
        <w:t xml:space="preserve"> ÖZTEPE, </w:t>
      </w:r>
      <w:proofErr w:type="spellStart"/>
      <w:r w:rsidR="00231398" w:rsidRPr="00004507">
        <w:rPr>
          <w:rFonts w:ascii="Arial" w:hAnsi="Arial" w:cs="Arial"/>
          <w:color w:val="000000" w:themeColor="text1"/>
          <w:lang w:val="en-US"/>
        </w:rPr>
        <w:t>Sinem</w:t>
      </w:r>
      <w:proofErr w:type="spellEnd"/>
      <w:r w:rsidR="00231398" w:rsidRPr="00004507">
        <w:rPr>
          <w:rFonts w:ascii="Arial" w:hAnsi="Arial" w:cs="Arial"/>
          <w:color w:val="000000" w:themeColor="text1"/>
          <w:lang w:val="en-US"/>
        </w:rPr>
        <w:t xml:space="preserve"> DEMİRKAYA-BUDAK, </w:t>
      </w:r>
      <w:proofErr w:type="spellStart"/>
      <w:r w:rsidR="007B58FA" w:rsidRPr="00004507">
        <w:rPr>
          <w:rFonts w:ascii="Arial" w:hAnsi="Arial" w:cs="Arial"/>
          <w:color w:val="000000" w:themeColor="text1"/>
          <w:lang w:val="en-US"/>
        </w:rPr>
        <w:t>Sinan</w:t>
      </w:r>
      <w:proofErr w:type="spellEnd"/>
      <w:r w:rsidR="007B58FA" w:rsidRPr="00004507">
        <w:rPr>
          <w:rFonts w:ascii="Arial" w:hAnsi="Arial" w:cs="Arial"/>
          <w:color w:val="000000" w:themeColor="text1"/>
          <w:lang w:val="en-US"/>
        </w:rPr>
        <w:t xml:space="preserve"> OFLAZ</w:t>
      </w:r>
      <w:r w:rsidR="00460470" w:rsidRPr="00004507">
        <w:rPr>
          <w:rFonts w:ascii="Arial" w:hAnsi="Arial" w:cs="Arial"/>
          <w:color w:val="000000" w:themeColor="text1"/>
          <w:lang w:val="en-US"/>
        </w:rPr>
        <w:t xml:space="preserve"> </w:t>
      </w:r>
    </w:p>
    <w:p w14:paraId="32A9CEC0" w14:textId="5DD04FB2" w:rsidR="00404431" w:rsidRPr="00004507" w:rsidRDefault="00404431" w:rsidP="00C15EA2">
      <w:pPr>
        <w:spacing w:line="276" w:lineRule="auto"/>
        <w:jc w:val="center"/>
        <w:rPr>
          <w:rFonts w:ascii="Arial" w:hAnsi="Arial" w:cs="Arial"/>
          <w:color w:val="000000" w:themeColor="text1"/>
          <w:lang w:val="en-US"/>
        </w:rPr>
      </w:pPr>
    </w:p>
    <w:p w14:paraId="1B8E39CE" w14:textId="77777777" w:rsidR="009A4B17" w:rsidRPr="00004507" w:rsidRDefault="009A4B17" w:rsidP="00C15EA2">
      <w:pPr>
        <w:spacing w:line="276" w:lineRule="auto"/>
        <w:jc w:val="center"/>
        <w:rPr>
          <w:rFonts w:ascii="Arial" w:hAnsi="Arial" w:cs="Arial"/>
          <w:color w:val="000000" w:themeColor="text1"/>
          <w:lang w:val="en-US"/>
        </w:rPr>
      </w:pPr>
    </w:p>
    <w:p w14:paraId="150846D6" w14:textId="0C86F690" w:rsidR="004153BB" w:rsidRPr="00004507" w:rsidRDefault="004153BB" w:rsidP="00C15EA2">
      <w:pPr>
        <w:spacing w:line="276" w:lineRule="auto"/>
        <w:jc w:val="center"/>
        <w:rPr>
          <w:rFonts w:ascii="Arial" w:hAnsi="Arial" w:cs="Arial"/>
          <w:color w:val="000000" w:themeColor="text1"/>
          <w:lang w:val="en-US"/>
        </w:rPr>
      </w:pPr>
      <w:r w:rsidRPr="00004507">
        <w:rPr>
          <w:rFonts w:ascii="Arial" w:hAnsi="Arial" w:cs="Arial"/>
          <w:color w:val="000000" w:themeColor="text1"/>
          <w:lang w:val="en-US"/>
        </w:rPr>
        <w:t>Department of Biomedical Engineering, TOBB University of Economics and Technology, Ankara, Turkey</w:t>
      </w:r>
    </w:p>
    <w:p w14:paraId="7CA6DAA3" w14:textId="070EE0AD" w:rsidR="00404431" w:rsidRPr="00004507" w:rsidRDefault="00404431" w:rsidP="00C15EA2">
      <w:pPr>
        <w:spacing w:line="276" w:lineRule="auto"/>
        <w:jc w:val="center"/>
        <w:rPr>
          <w:rFonts w:ascii="Arial" w:hAnsi="Arial" w:cs="Arial"/>
          <w:color w:val="000000" w:themeColor="text1"/>
          <w:lang w:val="en-US"/>
        </w:rPr>
      </w:pPr>
    </w:p>
    <w:p w14:paraId="60CE0D82" w14:textId="5BE92B10" w:rsidR="004153BB" w:rsidRPr="00004507" w:rsidRDefault="004153BB" w:rsidP="00C15EA2">
      <w:pPr>
        <w:spacing w:line="276" w:lineRule="auto"/>
        <w:jc w:val="center"/>
        <w:rPr>
          <w:rFonts w:ascii="Arial" w:hAnsi="Arial" w:cs="Arial"/>
          <w:color w:val="000000" w:themeColor="text1"/>
          <w:lang w:val="en-US"/>
        </w:rPr>
      </w:pPr>
    </w:p>
    <w:p w14:paraId="1B25E1CD" w14:textId="3A4C5B05" w:rsidR="004153BB" w:rsidRPr="00004507" w:rsidRDefault="004153BB" w:rsidP="00C15EA2">
      <w:pPr>
        <w:spacing w:line="276" w:lineRule="auto"/>
        <w:jc w:val="center"/>
        <w:rPr>
          <w:rFonts w:ascii="Arial" w:hAnsi="Arial" w:cs="Arial"/>
          <w:color w:val="000000" w:themeColor="text1"/>
          <w:lang w:val="en-US"/>
        </w:rPr>
      </w:pPr>
    </w:p>
    <w:p w14:paraId="1E4C97B9" w14:textId="7B6563ED" w:rsidR="009A4B17" w:rsidRPr="00004507" w:rsidRDefault="009A4B17" w:rsidP="00C15EA2">
      <w:pPr>
        <w:spacing w:line="276" w:lineRule="auto"/>
        <w:jc w:val="center"/>
        <w:rPr>
          <w:rFonts w:ascii="Arial" w:hAnsi="Arial" w:cs="Arial"/>
          <w:color w:val="000000" w:themeColor="text1"/>
          <w:lang w:val="en-US"/>
        </w:rPr>
      </w:pPr>
    </w:p>
    <w:p w14:paraId="7BB7857D" w14:textId="4A88F921" w:rsidR="009A4B17" w:rsidRPr="00004507" w:rsidRDefault="009A4B17" w:rsidP="00C15EA2">
      <w:pPr>
        <w:spacing w:line="276" w:lineRule="auto"/>
        <w:jc w:val="center"/>
        <w:rPr>
          <w:rFonts w:ascii="Arial" w:hAnsi="Arial" w:cs="Arial"/>
          <w:color w:val="000000" w:themeColor="text1"/>
          <w:lang w:val="en-US"/>
        </w:rPr>
      </w:pPr>
    </w:p>
    <w:p w14:paraId="03CA5669" w14:textId="0461B172" w:rsidR="009A4B17" w:rsidRPr="00004507" w:rsidRDefault="009A4B17" w:rsidP="00C15EA2">
      <w:pPr>
        <w:spacing w:line="276" w:lineRule="auto"/>
        <w:jc w:val="center"/>
        <w:rPr>
          <w:rFonts w:ascii="Arial" w:hAnsi="Arial" w:cs="Arial"/>
          <w:color w:val="000000" w:themeColor="text1"/>
          <w:lang w:val="en-US"/>
        </w:rPr>
      </w:pPr>
    </w:p>
    <w:p w14:paraId="32E117D7" w14:textId="005C5A24" w:rsidR="009A4B17" w:rsidRPr="00004507" w:rsidRDefault="009A4B17" w:rsidP="00C15EA2">
      <w:pPr>
        <w:spacing w:line="276" w:lineRule="auto"/>
        <w:jc w:val="center"/>
        <w:rPr>
          <w:rFonts w:ascii="Arial" w:hAnsi="Arial" w:cs="Arial"/>
          <w:color w:val="000000" w:themeColor="text1"/>
          <w:lang w:val="en-US"/>
        </w:rPr>
      </w:pPr>
    </w:p>
    <w:p w14:paraId="71FAD20B" w14:textId="3E58EE54" w:rsidR="009A4B17" w:rsidRPr="00004507" w:rsidRDefault="009A4B17" w:rsidP="00C15EA2">
      <w:pPr>
        <w:spacing w:line="276" w:lineRule="auto"/>
        <w:jc w:val="center"/>
        <w:rPr>
          <w:rFonts w:ascii="Arial" w:hAnsi="Arial" w:cs="Arial"/>
          <w:color w:val="000000" w:themeColor="text1"/>
          <w:lang w:val="en-US"/>
        </w:rPr>
      </w:pPr>
    </w:p>
    <w:p w14:paraId="74BBD7D1" w14:textId="77777777" w:rsidR="009A4B17" w:rsidRPr="00004507" w:rsidRDefault="009A4B17" w:rsidP="00C15EA2">
      <w:pPr>
        <w:spacing w:line="276" w:lineRule="auto"/>
        <w:jc w:val="center"/>
        <w:rPr>
          <w:rFonts w:ascii="Arial" w:hAnsi="Arial" w:cs="Arial"/>
          <w:color w:val="000000" w:themeColor="text1"/>
          <w:lang w:val="en-US"/>
        </w:rPr>
      </w:pPr>
    </w:p>
    <w:p w14:paraId="393E448C" w14:textId="7CE59724" w:rsidR="00404431" w:rsidRPr="00004507" w:rsidRDefault="00404431"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 xml:space="preserve">Corresponding author: </w:t>
      </w:r>
      <w:proofErr w:type="spellStart"/>
      <w:r w:rsidRPr="00004507">
        <w:rPr>
          <w:rFonts w:ascii="Arial" w:hAnsi="Arial" w:cs="Arial"/>
          <w:color w:val="000000" w:themeColor="text1"/>
          <w:lang w:val="en-US"/>
        </w:rPr>
        <w:t>Birsen</w:t>
      </w:r>
      <w:proofErr w:type="spellEnd"/>
      <w:r w:rsidRPr="00004507">
        <w:rPr>
          <w:rFonts w:ascii="Arial" w:hAnsi="Arial" w:cs="Arial"/>
          <w:color w:val="000000" w:themeColor="text1"/>
          <w:lang w:val="en-US"/>
        </w:rPr>
        <w:t xml:space="preserve"> CAN DEMİRDÖĞEN</w:t>
      </w:r>
    </w:p>
    <w:p w14:paraId="1BAF28B2" w14:textId="665FCCFB" w:rsidR="002960A5" w:rsidRPr="00004507" w:rsidRDefault="002960A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 xml:space="preserve">Address: Department of Biomedical Engineering, TOBB University of Economics and Technology, </w:t>
      </w:r>
      <w:proofErr w:type="spellStart"/>
      <w:r w:rsidRPr="00004507">
        <w:rPr>
          <w:rFonts w:ascii="Arial" w:hAnsi="Arial" w:cs="Arial"/>
          <w:color w:val="000000" w:themeColor="text1"/>
          <w:lang w:val="en-US"/>
        </w:rPr>
        <w:t>Söğütözü</w:t>
      </w:r>
      <w:proofErr w:type="spellEnd"/>
      <w:r w:rsidRPr="00004507">
        <w:rPr>
          <w:rFonts w:ascii="Arial" w:hAnsi="Arial" w:cs="Arial"/>
          <w:color w:val="000000" w:themeColor="text1"/>
          <w:lang w:val="en-US"/>
        </w:rPr>
        <w:t xml:space="preserve"> 06531, </w:t>
      </w:r>
      <w:proofErr w:type="gramStart"/>
      <w:r w:rsidRPr="00004507">
        <w:rPr>
          <w:rFonts w:ascii="Arial" w:hAnsi="Arial" w:cs="Arial"/>
          <w:color w:val="000000" w:themeColor="text1"/>
          <w:lang w:val="en-US"/>
        </w:rPr>
        <w:t>Ankara</w:t>
      </w:r>
      <w:proofErr w:type="gramEnd"/>
      <w:r w:rsidRPr="00004507">
        <w:rPr>
          <w:rFonts w:ascii="Arial" w:hAnsi="Arial" w:cs="Arial"/>
          <w:color w:val="000000" w:themeColor="text1"/>
          <w:lang w:val="en-US"/>
        </w:rPr>
        <w:t>, Turkey</w:t>
      </w:r>
    </w:p>
    <w:p w14:paraId="0447B498" w14:textId="3791631F" w:rsidR="002960A5" w:rsidRPr="00004507" w:rsidRDefault="002960A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 xml:space="preserve">Tel: </w:t>
      </w:r>
      <w:r w:rsidR="00C708D5" w:rsidRPr="00004507">
        <w:rPr>
          <w:rFonts w:ascii="Arial" w:hAnsi="Arial" w:cs="Arial"/>
          <w:color w:val="000000" w:themeColor="text1"/>
          <w:lang w:val="en-US"/>
        </w:rPr>
        <w:t>+</w:t>
      </w:r>
      <w:r w:rsidRPr="00004507">
        <w:rPr>
          <w:rFonts w:ascii="Arial" w:hAnsi="Arial" w:cs="Arial"/>
          <w:color w:val="000000" w:themeColor="text1"/>
          <w:lang w:val="en-US"/>
        </w:rPr>
        <w:t>90 312 292 42 79</w:t>
      </w:r>
    </w:p>
    <w:p w14:paraId="5EE1140D" w14:textId="43570C1D" w:rsidR="002960A5" w:rsidRDefault="002960A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 xml:space="preserve">Email: bcandemirdogen@etu.edu.tr, </w:t>
      </w:r>
      <w:r w:rsidR="00BF535F" w:rsidRPr="00A40B57">
        <w:rPr>
          <w:rFonts w:ascii="Arial" w:hAnsi="Arial" w:cs="Arial"/>
          <w:color w:val="000000" w:themeColor="text1"/>
          <w:lang w:val="en-US"/>
        </w:rPr>
        <w:t>birsencan.demirdogen@gmail.com</w:t>
      </w:r>
    </w:p>
    <w:p w14:paraId="17D72D72" w14:textId="554875C4" w:rsidR="00BF535F" w:rsidRPr="00004507" w:rsidRDefault="00CE3640" w:rsidP="00C15EA2">
      <w:pPr>
        <w:spacing w:line="276" w:lineRule="auto"/>
        <w:rPr>
          <w:rFonts w:ascii="Arial" w:hAnsi="Arial" w:cs="Arial"/>
          <w:color w:val="000000" w:themeColor="text1"/>
          <w:lang w:val="en-US"/>
        </w:rPr>
      </w:pPr>
      <w:proofErr w:type="spellStart"/>
      <w:r>
        <w:rPr>
          <w:rFonts w:ascii="Arial" w:hAnsi="Arial" w:cs="Arial"/>
          <w:color w:val="000000" w:themeColor="text1"/>
          <w:lang w:val="en-US"/>
        </w:rPr>
        <w:t>Orc</w:t>
      </w:r>
      <w:r w:rsidR="00BF535F">
        <w:rPr>
          <w:rFonts w:ascii="Arial" w:hAnsi="Arial" w:cs="Arial"/>
          <w:color w:val="000000" w:themeColor="text1"/>
          <w:lang w:val="en-US"/>
        </w:rPr>
        <w:t>id</w:t>
      </w:r>
      <w:proofErr w:type="spellEnd"/>
      <w:r w:rsidR="00BF535F">
        <w:rPr>
          <w:rFonts w:ascii="Arial" w:hAnsi="Arial" w:cs="Arial"/>
          <w:color w:val="000000" w:themeColor="text1"/>
          <w:lang w:val="en-US"/>
        </w:rPr>
        <w:t xml:space="preserve"> ID: </w:t>
      </w:r>
      <w:r w:rsidR="00BF535F" w:rsidRPr="00BF535F">
        <w:rPr>
          <w:rFonts w:ascii="Arial" w:hAnsi="Arial" w:cs="Arial"/>
          <w:color w:val="000000" w:themeColor="text1"/>
          <w:lang w:val="en-US"/>
        </w:rPr>
        <w:t>0000-0002-1536-6123</w:t>
      </w:r>
    </w:p>
    <w:p w14:paraId="5E7E7752" w14:textId="77777777" w:rsidR="005B6911" w:rsidRPr="00004507" w:rsidRDefault="005B6911" w:rsidP="00C15EA2">
      <w:pPr>
        <w:spacing w:line="276" w:lineRule="auto"/>
        <w:rPr>
          <w:rFonts w:ascii="Arial" w:hAnsi="Arial" w:cs="Arial"/>
          <w:color w:val="000000" w:themeColor="text1"/>
          <w:lang w:val="en-US"/>
        </w:rPr>
      </w:pPr>
    </w:p>
    <w:p w14:paraId="0EE44920" w14:textId="1AFFB930" w:rsidR="002960A5" w:rsidRPr="00004507" w:rsidRDefault="002960A5" w:rsidP="00C15EA2">
      <w:pPr>
        <w:spacing w:line="276" w:lineRule="auto"/>
        <w:rPr>
          <w:rFonts w:ascii="Arial" w:hAnsi="Arial" w:cs="Arial"/>
          <w:color w:val="000000" w:themeColor="text1"/>
          <w:lang w:val="en-US"/>
        </w:rPr>
      </w:pPr>
    </w:p>
    <w:p w14:paraId="5F703470" w14:textId="6E9889E5" w:rsidR="009A4B17" w:rsidRDefault="009A4B17" w:rsidP="00C15EA2">
      <w:pPr>
        <w:spacing w:line="276" w:lineRule="auto"/>
        <w:rPr>
          <w:rFonts w:ascii="Arial" w:hAnsi="Arial" w:cs="Arial"/>
          <w:color w:val="000000" w:themeColor="text1"/>
          <w:lang w:val="en-US"/>
        </w:rPr>
      </w:pPr>
    </w:p>
    <w:p w14:paraId="7FDCC5E1" w14:textId="77777777" w:rsidR="00A71437" w:rsidRDefault="00A71437" w:rsidP="00C15EA2">
      <w:pPr>
        <w:spacing w:line="276" w:lineRule="auto"/>
        <w:rPr>
          <w:rFonts w:ascii="Arial" w:hAnsi="Arial" w:cs="Arial"/>
          <w:color w:val="000000" w:themeColor="text1"/>
          <w:lang w:val="en-US"/>
        </w:rPr>
      </w:pPr>
    </w:p>
    <w:p w14:paraId="53A05860" w14:textId="77777777" w:rsidR="00A71437" w:rsidRDefault="00A71437" w:rsidP="00C15EA2">
      <w:pPr>
        <w:spacing w:line="276" w:lineRule="auto"/>
        <w:rPr>
          <w:rFonts w:ascii="Arial" w:hAnsi="Arial" w:cs="Arial"/>
          <w:color w:val="000000" w:themeColor="text1"/>
          <w:lang w:val="en-US"/>
        </w:rPr>
      </w:pPr>
    </w:p>
    <w:p w14:paraId="496B3CA8" w14:textId="77777777" w:rsidR="00A71437" w:rsidRPr="00004507" w:rsidRDefault="00A71437" w:rsidP="00C15EA2">
      <w:pPr>
        <w:spacing w:line="276" w:lineRule="auto"/>
        <w:rPr>
          <w:rFonts w:ascii="Arial" w:hAnsi="Arial" w:cs="Arial"/>
          <w:color w:val="000000" w:themeColor="text1"/>
          <w:lang w:val="en-US"/>
        </w:rPr>
      </w:pPr>
    </w:p>
    <w:p w14:paraId="584ECA84" w14:textId="77777777" w:rsidR="00AF3A92" w:rsidRPr="00004507" w:rsidRDefault="00AF3A92" w:rsidP="00C15EA2">
      <w:pPr>
        <w:spacing w:line="276" w:lineRule="auto"/>
        <w:rPr>
          <w:rFonts w:ascii="Arial" w:hAnsi="Arial" w:cs="Arial"/>
          <w:b/>
          <w:color w:val="000000" w:themeColor="text1"/>
          <w:lang w:val="en-US"/>
        </w:rPr>
      </w:pPr>
      <w:r w:rsidRPr="00004507">
        <w:rPr>
          <w:rFonts w:ascii="Arial" w:hAnsi="Arial" w:cs="Arial"/>
          <w:b/>
          <w:color w:val="000000" w:themeColor="text1"/>
          <w:lang w:val="en-US"/>
        </w:rPr>
        <w:lastRenderedPageBreak/>
        <w:t>Abstract</w:t>
      </w:r>
    </w:p>
    <w:p w14:paraId="4324AD69" w14:textId="191FBD67" w:rsidR="008C297E" w:rsidRPr="00004507" w:rsidRDefault="008C297E" w:rsidP="003B24EE">
      <w:pPr>
        <w:spacing w:line="276" w:lineRule="auto"/>
        <w:contextualSpacing/>
        <w:jc w:val="both"/>
        <w:rPr>
          <w:rFonts w:ascii="Arial" w:hAnsi="Arial" w:cs="Arial"/>
          <w:color w:val="000000" w:themeColor="text1"/>
          <w:lang w:val="en-US"/>
        </w:rPr>
      </w:pPr>
      <w:r w:rsidRPr="00004507">
        <w:rPr>
          <w:rFonts w:ascii="Arial" w:hAnsi="Arial" w:cs="Arial"/>
          <w:b/>
          <w:color w:val="000000" w:themeColor="text1"/>
          <w:lang w:val="en-US"/>
        </w:rPr>
        <w:t>Purpose:</w:t>
      </w:r>
      <w:r w:rsidRPr="00004507">
        <w:rPr>
          <w:rFonts w:ascii="Arial" w:hAnsi="Arial" w:cs="Arial"/>
          <w:color w:val="000000" w:themeColor="text1"/>
          <w:lang w:val="en-US"/>
        </w:rPr>
        <w:t xml:space="preserve"> </w:t>
      </w:r>
      <w:r w:rsidR="000D0442" w:rsidRPr="00004507">
        <w:rPr>
          <w:rFonts w:ascii="Arial" w:hAnsi="Arial" w:cs="Arial"/>
          <w:color w:val="000000" w:themeColor="text1"/>
          <w:lang w:val="en-US"/>
        </w:rPr>
        <w:t>Pseudoexfoliation syndrome (PEX) is characterized by the accumulation of microscopic extracellular material in the anterior chamber of the eye</w:t>
      </w:r>
      <w:r w:rsidR="009614CD" w:rsidRPr="00004507">
        <w:rPr>
          <w:rFonts w:ascii="Arial" w:hAnsi="Arial" w:cs="Arial"/>
          <w:color w:val="000000" w:themeColor="text1"/>
          <w:lang w:val="en-US"/>
        </w:rPr>
        <w:t xml:space="preserve"> and </w:t>
      </w:r>
      <w:r w:rsidR="00C708D5" w:rsidRPr="00004507">
        <w:rPr>
          <w:rFonts w:ascii="Arial" w:hAnsi="Arial" w:cs="Arial"/>
          <w:color w:val="000000" w:themeColor="text1"/>
          <w:lang w:val="en-US"/>
        </w:rPr>
        <w:t>can lead</w:t>
      </w:r>
      <w:r w:rsidR="000D0442" w:rsidRPr="00004507">
        <w:rPr>
          <w:rFonts w:ascii="Arial" w:hAnsi="Arial" w:cs="Arial"/>
          <w:color w:val="000000" w:themeColor="text1"/>
          <w:lang w:val="en-US"/>
        </w:rPr>
        <w:t xml:space="preserve"> to the development of pseudoexfoliative glaucoma (PEG) in some patients</w:t>
      </w:r>
      <w:r w:rsidR="00CA73EC" w:rsidRPr="00004507">
        <w:rPr>
          <w:rFonts w:ascii="Arial" w:hAnsi="Arial" w:cs="Arial"/>
          <w:color w:val="000000" w:themeColor="text1"/>
          <w:lang w:val="en-US"/>
        </w:rPr>
        <w:t>.</w:t>
      </w:r>
      <w:r w:rsidR="00936174" w:rsidRPr="00004507">
        <w:rPr>
          <w:rFonts w:ascii="Arial" w:hAnsi="Arial" w:cs="Arial"/>
          <w:color w:val="000000" w:themeColor="text1"/>
          <w:lang w:val="en-US"/>
        </w:rPr>
        <w:t xml:space="preserve"> </w:t>
      </w:r>
      <w:r w:rsidR="00A0123A" w:rsidRPr="00004507">
        <w:rPr>
          <w:rFonts w:ascii="Arial" w:hAnsi="Arial" w:cs="Arial"/>
          <w:color w:val="000000" w:themeColor="text1"/>
          <w:lang w:val="en-US"/>
        </w:rPr>
        <w:t xml:space="preserve">The pathogenesis of PEX </w:t>
      </w:r>
      <w:r w:rsidR="009C1DA0" w:rsidRPr="00004507">
        <w:rPr>
          <w:rFonts w:ascii="Arial" w:hAnsi="Arial" w:cs="Arial"/>
          <w:color w:val="000000" w:themeColor="text1"/>
          <w:lang w:val="en-US"/>
        </w:rPr>
        <w:t>is not fully understood</w:t>
      </w:r>
      <w:r w:rsidR="00C708D5" w:rsidRPr="00004507">
        <w:rPr>
          <w:rFonts w:ascii="Arial" w:hAnsi="Arial" w:cs="Arial"/>
          <w:color w:val="000000" w:themeColor="text1"/>
          <w:lang w:val="en-US"/>
        </w:rPr>
        <w:t>,</w:t>
      </w:r>
      <w:r w:rsidR="009C1DA0" w:rsidRPr="00004507">
        <w:rPr>
          <w:rFonts w:ascii="Arial" w:hAnsi="Arial" w:cs="Arial"/>
          <w:color w:val="000000" w:themeColor="text1"/>
          <w:lang w:val="en-US"/>
        </w:rPr>
        <w:t xml:space="preserve"> and there are no objective biomarkers for </w:t>
      </w:r>
      <w:r w:rsidR="00C708D5" w:rsidRPr="00004507">
        <w:rPr>
          <w:rFonts w:ascii="Arial" w:hAnsi="Arial" w:cs="Arial"/>
          <w:color w:val="000000" w:themeColor="text1"/>
          <w:lang w:val="en-US"/>
        </w:rPr>
        <w:t xml:space="preserve">its </w:t>
      </w:r>
      <w:r w:rsidR="009C1DA0" w:rsidRPr="00004507">
        <w:rPr>
          <w:rFonts w:ascii="Arial" w:hAnsi="Arial" w:cs="Arial"/>
          <w:color w:val="000000" w:themeColor="text1"/>
          <w:lang w:val="en-US"/>
        </w:rPr>
        <w:t xml:space="preserve">early diagnosis. </w:t>
      </w:r>
      <w:r w:rsidR="00BC6223" w:rsidRPr="00004507">
        <w:rPr>
          <w:rFonts w:ascii="Arial" w:hAnsi="Arial" w:cs="Arial"/>
          <w:color w:val="000000" w:themeColor="text1"/>
          <w:lang w:val="en-US"/>
        </w:rPr>
        <w:t xml:space="preserve">Recent research </w:t>
      </w:r>
      <w:r w:rsidR="00C708D5" w:rsidRPr="00004507">
        <w:rPr>
          <w:rFonts w:ascii="Arial" w:hAnsi="Arial" w:cs="Arial"/>
          <w:color w:val="000000" w:themeColor="text1"/>
          <w:lang w:val="en-US"/>
        </w:rPr>
        <w:t xml:space="preserve">has </w:t>
      </w:r>
      <w:r w:rsidR="00BC6223" w:rsidRPr="00004507">
        <w:rPr>
          <w:rFonts w:ascii="Arial" w:hAnsi="Arial" w:cs="Arial"/>
          <w:color w:val="000000" w:themeColor="text1"/>
          <w:lang w:val="en-US"/>
        </w:rPr>
        <w:t xml:space="preserve">indicated that oxidative stress and inflammation might </w:t>
      </w:r>
      <w:r w:rsidR="00E10679" w:rsidRPr="00004507">
        <w:rPr>
          <w:rFonts w:ascii="Arial" w:hAnsi="Arial" w:cs="Arial"/>
          <w:color w:val="000000" w:themeColor="text1"/>
          <w:lang w:val="en-US"/>
        </w:rPr>
        <w:t>play a role</w:t>
      </w:r>
      <w:r w:rsidR="00BC6223" w:rsidRPr="00004507">
        <w:rPr>
          <w:rFonts w:ascii="Arial" w:hAnsi="Arial" w:cs="Arial"/>
          <w:color w:val="000000" w:themeColor="text1"/>
          <w:lang w:val="en-US"/>
        </w:rPr>
        <w:t xml:space="preserve"> in the pathophysiology of </w:t>
      </w:r>
      <w:r w:rsidR="00E10679" w:rsidRPr="00004507">
        <w:rPr>
          <w:rFonts w:ascii="Arial" w:hAnsi="Arial" w:cs="Arial"/>
          <w:color w:val="000000" w:themeColor="text1"/>
          <w:lang w:val="en-US"/>
        </w:rPr>
        <w:t xml:space="preserve">the production of </w:t>
      </w:r>
      <w:r w:rsidR="00BC6223" w:rsidRPr="00004507">
        <w:rPr>
          <w:rFonts w:ascii="Arial" w:hAnsi="Arial" w:cs="Arial"/>
          <w:color w:val="000000" w:themeColor="text1"/>
          <w:lang w:val="en-US"/>
        </w:rPr>
        <w:t xml:space="preserve">pseudoexfoliation material. </w:t>
      </w:r>
      <w:r w:rsidR="00936174" w:rsidRPr="00004507">
        <w:rPr>
          <w:rFonts w:ascii="Arial" w:hAnsi="Arial" w:cs="Arial"/>
          <w:color w:val="000000" w:themeColor="text1"/>
          <w:lang w:val="en-US"/>
        </w:rPr>
        <w:t>Therefore, i</w:t>
      </w:r>
      <w:r w:rsidR="00C500CC" w:rsidRPr="00004507">
        <w:rPr>
          <w:rFonts w:ascii="Arial" w:hAnsi="Arial" w:cs="Arial"/>
          <w:color w:val="000000" w:themeColor="text1"/>
          <w:lang w:val="en-US"/>
        </w:rPr>
        <w:t xml:space="preserve">n the present study, </w:t>
      </w:r>
      <w:r w:rsidR="00E10679" w:rsidRPr="00004507">
        <w:rPr>
          <w:rFonts w:ascii="Arial" w:hAnsi="Arial" w:cs="Arial"/>
          <w:color w:val="000000" w:themeColor="text1"/>
          <w:lang w:val="en-US"/>
        </w:rPr>
        <w:t xml:space="preserve">we </w:t>
      </w:r>
      <w:r w:rsidR="00C500CC" w:rsidRPr="00004507">
        <w:rPr>
          <w:rFonts w:ascii="Arial" w:hAnsi="Arial" w:cs="Arial"/>
          <w:color w:val="000000" w:themeColor="text1"/>
          <w:lang w:val="en-US"/>
        </w:rPr>
        <w:t>aim</w:t>
      </w:r>
      <w:r w:rsidR="00E10679" w:rsidRPr="00004507">
        <w:rPr>
          <w:rFonts w:ascii="Arial" w:hAnsi="Arial" w:cs="Arial"/>
          <w:color w:val="000000" w:themeColor="text1"/>
          <w:lang w:val="en-US"/>
        </w:rPr>
        <w:t>ed</w:t>
      </w:r>
      <w:r w:rsidR="00C500CC" w:rsidRPr="00004507">
        <w:rPr>
          <w:rFonts w:ascii="Arial" w:hAnsi="Arial" w:cs="Arial"/>
          <w:color w:val="000000" w:themeColor="text1"/>
          <w:lang w:val="en-US"/>
        </w:rPr>
        <w:t xml:space="preserve"> to analyze the possible association between </w:t>
      </w:r>
      <w:r w:rsidR="00A53D4D" w:rsidRPr="00004507">
        <w:rPr>
          <w:rFonts w:ascii="Arial" w:hAnsi="Arial" w:cs="Arial"/>
          <w:color w:val="000000" w:themeColor="text1"/>
          <w:lang w:val="en-US"/>
        </w:rPr>
        <w:t xml:space="preserve">three </w:t>
      </w:r>
      <w:r w:rsidR="00C500CC" w:rsidRPr="00004507">
        <w:rPr>
          <w:rFonts w:ascii="Arial" w:hAnsi="Arial" w:cs="Arial"/>
          <w:color w:val="000000" w:themeColor="text1"/>
          <w:lang w:val="en-US"/>
        </w:rPr>
        <w:t xml:space="preserve">genetic </w:t>
      </w:r>
      <w:r w:rsidR="00B86F32">
        <w:rPr>
          <w:rFonts w:ascii="Arial" w:hAnsi="Arial" w:cs="Arial"/>
          <w:color w:val="000000" w:themeColor="text1"/>
          <w:lang w:val="en-US"/>
        </w:rPr>
        <w:t>variants</w:t>
      </w:r>
      <w:r w:rsidR="00C500CC" w:rsidRPr="00004507">
        <w:rPr>
          <w:rFonts w:ascii="Arial" w:hAnsi="Arial" w:cs="Arial"/>
          <w:color w:val="000000" w:themeColor="text1"/>
          <w:lang w:val="en-US"/>
        </w:rPr>
        <w:t xml:space="preserve"> </w:t>
      </w:r>
      <w:r w:rsidR="00E10679" w:rsidRPr="00004507">
        <w:rPr>
          <w:rFonts w:ascii="Arial" w:hAnsi="Arial" w:cs="Arial"/>
          <w:color w:val="000000" w:themeColor="text1"/>
          <w:lang w:val="en-US"/>
        </w:rPr>
        <w:t>of p</w:t>
      </w:r>
      <w:r w:rsidR="00A53D4D" w:rsidRPr="00004507">
        <w:rPr>
          <w:rFonts w:ascii="Arial" w:hAnsi="Arial" w:cs="Arial"/>
          <w:color w:val="000000" w:themeColor="text1"/>
          <w:lang w:val="en-US"/>
        </w:rPr>
        <w:t>araoxonase 1 (</w:t>
      </w:r>
      <w:r w:rsidR="00A53D4D" w:rsidRPr="00004507">
        <w:rPr>
          <w:rFonts w:ascii="Arial" w:hAnsi="Arial" w:cs="Arial"/>
          <w:i/>
          <w:color w:val="000000" w:themeColor="text1"/>
          <w:lang w:val="en-US"/>
        </w:rPr>
        <w:t>PON1</w:t>
      </w:r>
      <w:r w:rsidR="00A53D4D" w:rsidRPr="00004507">
        <w:rPr>
          <w:rFonts w:ascii="Arial" w:hAnsi="Arial" w:cs="Arial"/>
          <w:color w:val="000000" w:themeColor="text1"/>
          <w:lang w:val="en-US"/>
        </w:rPr>
        <w:t>)</w:t>
      </w:r>
      <w:r w:rsidR="00237051" w:rsidRPr="00004507">
        <w:rPr>
          <w:rFonts w:ascii="Arial" w:hAnsi="Arial" w:cs="Arial"/>
          <w:color w:val="000000" w:themeColor="text1"/>
          <w:lang w:val="en-US"/>
        </w:rPr>
        <w:t xml:space="preserve">, a well-recognized anti-oxidant and anti-inflammatory enzyme, </w:t>
      </w:r>
      <w:r w:rsidR="00C500CC" w:rsidRPr="00004507">
        <w:rPr>
          <w:rFonts w:ascii="Arial" w:hAnsi="Arial" w:cs="Arial"/>
          <w:color w:val="000000" w:themeColor="text1"/>
          <w:lang w:val="en-US"/>
        </w:rPr>
        <w:t>and PEX/PEG.</w:t>
      </w:r>
      <w:r w:rsidR="003B24EE" w:rsidRPr="00004507">
        <w:rPr>
          <w:rFonts w:ascii="Arial" w:hAnsi="Arial" w:cs="Arial"/>
          <w:color w:val="000000" w:themeColor="text1"/>
          <w:lang w:val="en-US"/>
        </w:rPr>
        <w:t xml:space="preserve"> </w:t>
      </w:r>
    </w:p>
    <w:p w14:paraId="29247B15" w14:textId="71B1D4A8" w:rsidR="008C297E" w:rsidRPr="00004507" w:rsidRDefault="008C297E" w:rsidP="003B24EE">
      <w:pPr>
        <w:spacing w:line="276" w:lineRule="auto"/>
        <w:contextualSpacing/>
        <w:jc w:val="both"/>
        <w:rPr>
          <w:rFonts w:ascii="Arial" w:hAnsi="Arial" w:cs="Arial"/>
          <w:color w:val="000000" w:themeColor="text1"/>
          <w:lang w:val="en-US"/>
        </w:rPr>
      </w:pPr>
      <w:r w:rsidRPr="00004507">
        <w:rPr>
          <w:rFonts w:ascii="Arial" w:hAnsi="Arial" w:cs="Arial"/>
          <w:b/>
          <w:color w:val="000000" w:themeColor="text1"/>
          <w:lang w:val="en-US"/>
        </w:rPr>
        <w:t>Methods:</w:t>
      </w:r>
      <w:r w:rsidRPr="00004507">
        <w:rPr>
          <w:rFonts w:ascii="Arial" w:hAnsi="Arial" w:cs="Arial"/>
          <w:color w:val="000000" w:themeColor="text1"/>
          <w:lang w:val="en-US"/>
        </w:rPr>
        <w:t xml:space="preserve"> </w:t>
      </w:r>
      <w:r w:rsidR="008D2A7B" w:rsidRPr="00004507">
        <w:rPr>
          <w:rFonts w:ascii="Arial" w:hAnsi="Arial" w:cs="Arial"/>
          <w:color w:val="000000" w:themeColor="text1"/>
          <w:lang w:val="en-US"/>
        </w:rPr>
        <w:t>The study population consisted of patients</w:t>
      </w:r>
      <w:r w:rsidR="00DE75EA" w:rsidRPr="00004507">
        <w:rPr>
          <w:rFonts w:ascii="Arial" w:hAnsi="Arial" w:cs="Arial"/>
          <w:color w:val="000000" w:themeColor="text1"/>
          <w:lang w:val="en-US"/>
        </w:rPr>
        <w:t xml:space="preserve"> with PEX (n=150)</w:t>
      </w:r>
      <w:r w:rsidR="008D2A7B" w:rsidRPr="00004507">
        <w:rPr>
          <w:rFonts w:ascii="Arial" w:hAnsi="Arial" w:cs="Arial"/>
          <w:color w:val="000000" w:themeColor="text1"/>
          <w:lang w:val="en-US"/>
        </w:rPr>
        <w:t>, patients</w:t>
      </w:r>
      <w:r w:rsidR="00DE75EA" w:rsidRPr="00004507">
        <w:rPr>
          <w:rFonts w:ascii="Arial" w:hAnsi="Arial" w:cs="Arial"/>
          <w:color w:val="000000" w:themeColor="text1"/>
          <w:lang w:val="en-US"/>
        </w:rPr>
        <w:t xml:space="preserve"> with PEG</w:t>
      </w:r>
      <w:r w:rsidR="008D2A7B" w:rsidRPr="00004507">
        <w:rPr>
          <w:rFonts w:ascii="Arial" w:hAnsi="Arial" w:cs="Arial"/>
          <w:color w:val="000000" w:themeColor="text1"/>
          <w:lang w:val="en-US"/>
        </w:rPr>
        <w:t xml:space="preserve"> </w:t>
      </w:r>
      <w:r w:rsidR="00DE75EA" w:rsidRPr="00004507">
        <w:rPr>
          <w:rFonts w:ascii="Arial" w:hAnsi="Arial" w:cs="Arial"/>
          <w:color w:val="000000" w:themeColor="text1"/>
          <w:lang w:val="en-US"/>
        </w:rPr>
        <w:t xml:space="preserve">(n=150) </w:t>
      </w:r>
      <w:r w:rsidR="008D2A7B" w:rsidRPr="00004507">
        <w:rPr>
          <w:rFonts w:ascii="Arial" w:hAnsi="Arial" w:cs="Arial"/>
          <w:color w:val="000000" w:themeColor="text1"/>
          <w:lang w:val="en-US"/>
        </w:rPr>
        <w:t>and control</w:t>
      </w:r>
      <w:r w:rsidR="00C8327E" w:rsidRPr="00004507">
        <w:rPr>
          <w:rFonts w:ascii="Arial" w:hAnsi="Arial" w:cs="Arial"/>
          <w:color w:val="000000" w:themeColor="text1"/>
          <w:lang w:val="en-US"/>
        </w:rPr>
        <w:t xml:space="preserve"> </w:t>
      </w:r>
      <w:r w:rsidR="008D2A7B" w:rsidRPr="00004507">
        <w:rPr>
          <w:rFonts w:ascii="Arial" w:hAnsi="Arial" w:cs="Arial"/>
          <w:color w:val="000000" w:themeColor="text1"/>
          <w:lang w:val="en-US"/>
        </w:rPr>
        <w:t>s</w:t>
      </w:r>
      <w:r w:rsidR="00C8327E" w:rsidRPr="00004507">
        <w:rPr>
          <w:rFonts w:ascii="Arial" w:hAnsi="Arial" w:cs="Arial"/>
          <w:color w:val="000000" w:themeColor="text1"/>
          <w:lang w:val="en-US"/>
        </w:rPr>
        <w:t>ubjects</w:t>
      </w:r>
      <w:r w:rsidR="00DE75EA" w:rsidRPr="00004507">
        <w:rPr>
          <w:rFonts w:ascii="Arial" w:hAnsi="Arial" w:cs="Arial"/>
          <w:color w:val="000000" w:themeColor="text1"/>
          <w:lang w:val="en-US"/>
        </w:rPr>
        <w:t xml:space="preserve"> (n=150)</w:t>
      </w:r>
      <w:r w:rsidR="008D2A7B" w:rsidRPr="00004507">
        <w:rPr>
          <w:rFonts w:ascii="Arial" w:hAnsi="Arial" w:cs="Arial"/>
          <w:color w:val="000000" w:themeColor="text1"/>
          <w:lang w:val="en-US"/>
        </w:rPr>
        <w:t xml:space="preserve">. </w:t>
      </w:r>
      <w:r w:rsidR="00361A80" w:rsidRPr="00004507">
        <w:rPr>
          <w:rFonts w:ascii="Arial" w:hAnsi="Arial" w:cs="Arial"/>
          <w:i/>
          <w:color w:val="000000" w:themeColor="text1"/>
          <w:lang w:val="en-US"/>
        </w:rPr>
        <w:t>PON1</w:t>
      </w:r>
      <w:r w:rsidR="00361A80" w:rsidRPr="00004507">
        <w:rPr>
          <w:rFonts w:ascii="Arial" w:hAnsi="Arial" w:cs="Arial"/>
          <w:color w:val="000000" w:themeColor="text1"/>
          <w:lang w:val="en-US"/>
        </w:rPr>
        <w:t xml:space="preserve"> </w:t>
      </w:r>
      <w:r w:rsidR="00980B13" w:rsidRPr="00004507">
        <w:rPr>
          <w:rFonts w:ascii="Arial" w:hAnsi="Arial" w:cs="Arial"/>
          <w:i/>
          <w:color w:val="000000" w:themeColor="text1"/>
          <w:lang w:val="en-US"/>
        </w:rPr>
        <w:t>−</w:t>
      </w:r>
      <w:r w:rsidR="00936174" w:rsidRPr="00004507">
        <w:rPr>
          <w:rFonts w:ascii="Arial" w:hAnsi="Arial" w:cs="Arial"/>
          <w:i/>
          <w:color w:val="000000" w:themeColor="text1"/>
          <w:lang w:val="en-US"/>
        </w:rPr>
        <w:t>107T/C</w:t>
      </w:r>
      <w:r w:rsidR="00936174" w:rsidRPr="00004507">
        <w:rPr>
          <w:rFonts w:ascii="Arial" w:hAnsi="Arial" w:cs="Arial"/>
          <w:color w:val="000000" w:themeColor="text1"/>
          <w:lang w:val="en-US"/>
        </w:rPr>
        <w:t xml:space="preserve">, </w:t>
      </w:r>
      <w:r w:rsidR="00936174" w:rsidRPr="00004507">
        <w:rPr>
          <w:rFonts w:ascii="Arial" w:hAnsi="Arial" w:cs="Arial"/>
          <w:i/>
          <w:color w:val="000000" w:themeColor="text1"/>
          <w:lang w:val="en-US"/>
        </w:rPr>
        <w:t xml:space="preserve">192Q/R </w:t>
      </w:r>
      <w:r w:rsidR="00936174" w:rsidRPr="00004507">
        <w:rPr>
          <w:rFonts w:ascii="Arial" w:hAnsi="Arial" w:cs="Arial"/>
          <w:color w:val="000000" w:themeColor="text1"/>
          <w:lang w:val="en-US"/>
        </w:rPr>
        <w:t xml:space="preserve">and </w:t>
      </w:r>
      <w:r w:rsidR="00936174" w:rsidRPr="00004507">
        <w:rPr>
          <w:rFonts w:ascii="Arial" w:hAnsi="Arial" w:cs="Arial"/>
          <w:i/>
          <w:color w:val="000000" w:themeColor="text1"/>
          <w:lang w:val="en-US"/>
        </w:rPr>
        <w:t xml:space="preserve">55L/M </w:t>
      </w:r>
      <w:r w:rsidR="00936174" w:rsidRPr="00004507">
        <w:rPr>
          <w:rFonts w:ascii="Arial" w:hAnsi="Arial" w:cs="Arial"/>
          <w:color w:val="000000" w:themeColor="text1"/>
          <w:lang w:val="en-US"/>
        </w:rPr>
        <w:t>g</w:t>
      </w:r>
      <w:r w:rsidR="008D2A7B" w:rsidRPr="00004507">
        <w:rPr>
          <w:rFonts w:ascii="Arial" w:hAnsi="Arial" w:cs="Arial"/>
          <w:color w:val="000000" w:themeColor="text1"/>
          <w:lang w:val="en-US"/>
        </w:rPr>
        <w:t>enotypes were deter</w:t>
      </w:r>
      <w:r w:rsidR="00980B13" w:rsidRPr="00004507">
        <w:rPr>
          <w:rFonts w:ascii="Arial" w:hAnsi="Arial" w:cs="Arial"/>
          <w:color w:val="000000" w:themeColor="text1"/>
          <w:lang w:val="en-US"/>
        </w:rPr>
        <w:t xml:space="preserve">mined using PCR followed by </w:t>
      </w:r>
      <w:r w:rsidR="00C8327E" w:rsidRPr="00004507">
        <w:rPr>
          <w:rFonts w:ascii="Arial" w:hAnsi="Arial" w:cs="Arial"/>
          <w:color w:val="000000" w:themeColor="text1"/>
          <w:lang w:val="en-US"/>
        </w:rPr>
        <w:t>restricti</w:t>
      </w:r>
      <w:r w:rsidR="00980B13" w:rsidRPr="00004507">
        <w:rPr>
          <w:rFonts w:ascii="Arial" w:hAnsi="Arial" w:cs="Arial"/>
          <w:color w:val="000000" w:themeColor="text1"/>
          <w:lang w:val="en-US"/>
        </w:rPr>
        <w:t xml:space="preserve">on fragment length polymorphism </w:t>
      </w:r>
      <w:r w:rsidR="004620DA" w:rsidRPr="00004507">
        <w:rPr>
          <w:rFonts w:ascii="Arial" w:hAnsi="Arial" w:cs="Arial"/>
          <w:color w:val="000000" w:themeColor="text1"/>
          <w:lang w:val="en-US"/>
        </w:rPr>
        <w:t xml:space="preserve">analysis. </w:t>
      </w:r>
      <w:r w:rsidR="004007CA" w:rsidRPr="00004507">
        <w:rPr>
          <w:rFonts w:ascii="Arial" w:hAnsi="Arial" w:cs="Arial"/>
          <w:color w:val="000000" w:themeColor="text1"/>
          <w:lang w:val="en-US"/>
        </w:rPr>
        <w:t>The c</w:t>
      </w:r>
      <w:r w:rsidR="00361A80" w:rsidRPr="00004507">
        <w:rPr>
          <w:rFonts w:ascii="Arial" w:hAnsi="Arial" w:cs="Arial"/>
          <w:color w:val="000000" w:themeColor="text1"/>
          <w:lang w:val="en-US"/>
        </w:rPr>
        <w:t xml:space="preserve">orrelation between these genetic </w:t>
      </w:r>
      <w:r w:rsidR="001879D8">
        <w:rPr>
          <w:rFonts w:ascii="Arial" w:hAnsi="Arial" w:cs="Arial"/>
          <w:color w:val="000000" w:themeColor="text1"/>
          <w:lang w:val="en-US"/>
        </w:rPr>
        <w:t>alteration</w:t>
      </w:r>
      <w:r w:rsidR="001879D8" w:rsidRPr="00004507">
        <w:rPr>
          <w:rFonts w:ascii="Arial" w:hAnsi="Arial" w:cs="Arial"/>
          <w:color w:val="000000" w:themeColor="text1"/>
          <w:lang w:val="en-US"/>
        </w:rPr>
        <w:t xml:space="preserve">s </w:t>
      </w:r>
      <w:r w:rsidR="00361A80" w:rsidRPr="00004507">
        <w:rPr>
          <w:rFonts w:ascii="Arial" w:hAnsi="Arial" w:cs="Arial"/>
          <w:color w:val="000000" w:themeColor="text1"/>
          <w:lang w:val="en-US"/>
        </w:rPr>
        <w:t>and clinical visual charac</w:t>
      </w:r>
      <w:r w:rsidR="004007CA" w:rsidRPr="00004507">
        <w:rPr>
          <w:rFonts w:ascii="Arial" w:hAnsi="Arial" w:cs="Arial"/>
          <w:color w:val="000000" w:themeColor="text1"/>
          <w:lang w:val="en-US"/>
        </w:rPr>
        <w:t>teristics</w:t>
      </w:r>
      <w:r w:rsidR="00CA73EC" w:rsidRPr="00004507">
        <w:rPr>
          <w:rFonts w:ascii="Arial" w:hAnsi="Arial" w:cs="Arial"/>
          <w:color w:val="000000" w:themeColor="text1"/>
          <w:lang w:val="en-US"/>
        </w:rPr>
        <w:t xml:space="preserve"> </w:t>
      </w:r>
      <w:r w:rsidR="004007CA" w:rsidRPr="00004507">
        <w:rPr>
          <w:rFonts w:ascii="Arial" w:hAnsi="Arial" w:cs="Arial"/>
          <w:color w:val="000000" w:themeColor="text1"/>
          <w:lang w:val="en-US"/>
        </w:rPr>
        <w:t>was</w:t>
      </w:r>
      <w:r w:rsidR="00361A80" w:rsidRPr="00004507">
        <w:rPr>
          <w:rFonts w:ascii="Arial" w:hAnsi="Arial" w:cs="Arial"/>
          <w:color w:val="000000" w:themeColor="text1"/>
          <w:lang w:val="en-US"/>
        </w:rPr>
        <w:t xml:space="preserve"> also investigated.</w:t>
      </w:r>
      <w:r w:rsidR="003B24EE" w:rsidRPr="00004507">
        <w:rPr>
          <w:rFonts w:ascii="Arial" w:hAnsi="Arial" w:cs="Arial"/>
          <w:color w:val="000000" w:themeColor="text1"/>
          <w:lang w:val="en-US"/>
        </w:rPr>
        <w:t xml:space="preserve"> </w:t>
      </w:r>
    </w:p>
    <w:p w14:paraId="439D1062" w14:textId="49FBE69B" w:rsidR="008C297E" w:rsidRPr="00004507" w:rsidRDefault="008C297E" w:rsidP="00567021">
      <w:pPr>
        <w:spacing w:line="276" w:lineRule="auto"/>
        <w:contextualSpacing/>
        <w:jc w:val="both"/>
        <w:rPr>
          <w:rFonts w:ascii="Arial" w:hAnsi="Arial" w:cs="Arial"/>
          <w:color w:val="000000" w:themeColor="text1"/>
          <w:lang w:val="en-US"/>
        </w:rPr>
      </w:pPr>
      <w:r w:rsidRPr="00004507">
        <w:rPr>
          <w:rFonts w:ascii="Arial" w:hAnsi="Arial" w:cs="Arial"/>
          <w:b/>
          <w:color w:val="000000" w:themeColor="text1"/>
          <w:lang w:val="en-US"/>
        </w:rPr>
        <w:t>Results:</w:t>
      </w:r>
      <w:r w:rsidRPr="00004507">
        <w:rPr>
          <w:rFonts w:ascii="Arial" w:hAnsi="Arial" w:cs="Arial"/>
          <w:color w:val="000000" w:themeColor="text1"/>
          <w:lang w:val="en-US"/>
        </w:rPr>
        <w:t xml:space="preserve"> </w:t>
      </w:r>
      <w:r w:rsidR="004007CA" w:rsidRPr="00004507">
        <w:rPr>
          <w:rFonts w:ascii="Arial" w:hAnsi="Arial" w:cs="Arial"/>
          <w:color w:val="000000" w:themeColor="text1"/>
          <w:lang w:val="en-US"/>
        </w:rPr>
        <w:t>The m</w:t>
      </w:r>
      <w:r w:rsidR="007072E9" w:rsidRPr="00004507">
        <w:rPr>
          <w:rFonts w:ascii="Arial" w:hAnsi="Arial" w:cs="Arial"/>
          <w:color w:val="000000" w:themeColor="text1"/>
          <w:lang w:val="en-US"/>
        </w:rPr>
        <w:t>inor allele frequencies</w:t>
      </w:r>
      <w:r w:rsidR="00BB48B0" w:rsidRPr="00004507">
        <w:rPr>
          <w:rFonts w:ascii="Arial" w:hAnsi="Arial" w:cs="Arial"/>
          <w:color w:val="000000" w:themeColor="text1"/>
          <w:lang w:val="en-US"/>
        </w:rPr>
        <w:t xml:space="preserve"> </w:t>
      </w:r>
      <w:r w:rsidR="00811542">
        <w:rPr>
          <w:rFonts w:ascii="Arial" w:hAnsi="Arial" w:cs="Arial"/>
          <w:color w:val="000000" w:themeColor="text1"/>
          <w:lang w:val="en-US"/>
        </w:rPr>
        <w:t xml:space="preserve">and genotype distributions </w:t>
      </w:r>
      <w:r w:rsidR="00BB48B0" w:rsidRPr="00004507">
        <w:rPr>
          <w:rFonts w:ascii="Arial" w:hAnsi="Arial" w:cs="Arial"/>
          <w:color w:val="000000" w:themeColor="text1"/>
          <w:lang w:val="en-US"/>
        </w:rPr>
        <w:t xml:space="preserve">of </w:t>
      </w:r>
      <w:r w:rsidR="00BB48B0" w:rsidRPr="00004507">
        <w:rPr>
          <w:rFonts w:ascii="Arial" w:hAnsi="Arial" w:cs="Arial"/>
          <w:i/>
          <w:color w:val="000000" w:themeColor="text1"/>
          <w:lang w:val="en-US"/>
        </w:rPr>
        <w:t>PON1</w:t>
      </w:r>
      <w:r w:rsidR="007072E9" w:rsidRPr="00004507">
        <w:rPr>
          <w:rFonts w:ascii="Arial" w:hAnsi="Arial" w:cs="Arial"/>
          <w:color w:val="000000" w:themeColor="text1"/>
          <w:lang w:val="en-US"/>
        </w:rPr>
        <w:t xml:space="preserve"> did not differ significantly </w:t>
      </w:r>
      <w:r w:rsidR="004007CA" w:rsidRPr="00004507">
        <w:rPr>
          <w:rFonts w:ascii="Arial" w:hAnsi="Arial" w:cs="Arial"/>
          <w:color w:val="000000" w:themeColor="text1"/>
          <w:lang w:val="en-US"/>
        </w:rPr>
        <w:t xml:space="preserve">between </w:t>
      </w:r>
      <w:r w:rsidR="004651E1" w:rsidRPr="00004507">
        <w:rPr>
          <w:rFonts w:ascii="Arial" w:hAnsi="Arial" w:cs="Arial"/>
          <w:color w:val="000000" w:themeColor="text1"/>
          <w:lang w:val="en-US"/>
        </w:rPr>
        <w:t>the PEG</w:t>
      </w:r>
      <w:r w:rsidR="004007CA" w:rsidRPr="00004507">
        <w:rPr>
          <w:rFonts w:ascii="Arial" w:hAnsi="Arial" w:cs="Arial"/>
          <w:color w:val="000000" w:themeColor="text1"/>
          <w:lang w:val="en-US"/>
        </w:rPr>
        <w:t xml:space="preserve">, </w:t>
      </w:r>
      <w:r w:rsidR="004651E1" w:rsidRPr="00004507">
        <w:rPr>
          <w:rFonts w:ascii="Arial" w:hAnsi="Arial" w:cs="Arial"/>
          <w:color w:val="000000" w:themeColor="text1"/>
          <w:lang w:val="en-US"/>
        </w:rPr>
        <w:t>PEX</w:t>
      </w:r>
      <w:r w:rsidR="004007CA" w:rsidRPr="00004507">
        <w:rPr>
          <w:rFonts w:ascii="Arial" w:hAnsi="Arial" w:cs="Arial"/>
          <w:color w:val="000000" w:themeColor="text1"/>
          <w:lang w:val="en-US"/>
        </w:rPr>
        <w:t xml:space="preserve">, and </w:t>
      </w:r>
      <w:r w:rsidR="004651E1" w:rsidRPr="00004507">
        <w:rPr>
          <w:rFonts w:ascii="Arial" w:hAnsi="Arial" w:cs="Arial"/>
          <w:color w:val="000000" w:themeColor="text1"/>
          <w:lang w:val="en-US"/>
        </w:rPr>
        <w:t>control groups</w:t>
      </w:r>
      <w:r w:rsidR="00712691" w:rsidRPr="00004507">
        <w:rPr>
          <w:rFonts w:ascii="Arial" w:hAnsi="Arial" w:cs="Arial"/>
          <w:color w:val="000000" w:themeColor="text1"/>
          <w:lang w:val="en-US"/>
        </w:rPr>
        <w:t xml:space="preserve">. </w:t>
      </w:r>
      <w:r w:rsidR="00320904">
        <w:rPr>
          <w:rFonts w:ascii="Arial" w:eastAsia="Calibri" w:hAnsi="Arial" w:cs="Arial"/>
          <w:color w:val="000000" w:themeColor="text1"/>
          <w:lang w:val="en-US"/>
        </w:rPr>
        <w:t xml:space="preserve">Moreover, </w:t>
      </w:r>
      <w:r w:rsidR="00320904" w:rsidRPr="00004507">
        <w:rPr>
          <w:rFonts w:ascii="Arial" w:hAnsi="Arial" w:cs="Arial"/>
          <w:i/>
          <w:color w:val="000000" w:themeColor="text1"/>
          <w:lang w:val="en-US"/>
        </w:rPr>
        <w:t xml:space="preserve">PON1 </w:t>
      </w:r>
      <w:r w:rsidR="00320904" w:rsidRPr="00004507">
        <w:rPr>
          <w:rFonts w:ascii="Arial" w:hAnsi="Arial" w:cs="Arial"/>
          <w:color w:val="000000" w:themeColor="text1"/>
          <w:lang w:val="en-US"/>
        </w:rPr>
        <w:t xml:space="preserve">genotypes </w:t>
      </w:r>
      <w:r w:rsidR="00320904">
        <w:rPr>
          <w:rFonts w:ascii="Arial" w:hAnsi="Arial" w:cs="Arial"/>
          <w:color w:val="000000" w:themeColor="text1"/>
          <w:lang w:val="en-US"/>
        </w:rPr>
        <w:t>did not</w:t>
      </w:r>
      <w:r w:rsidR="0061408F">
        <w:rPr>
          <w:rFonts w:ascii="Arial" w:hAnsi="Arial" w:cs="Arial"/>
          <w:color w:val="000000" w:themeColor="text1"/>
          <w:lang w:val="en-US"/>
        </w:rPr>
        <w:t xml:space="preserve"> significantly</w:t>
      </w:r>
      <w:r w:rsidR="00320904">
        <w:rPr>
          <w:rFonts w:ascii="Arial" w:hAnsi="Arial" w:cs="Arial"/>
          <w:color w:val="000000" w:themeColor="text1"/>
          <w:lang w:val="en-US"/>
        </w:rPr>
        <w:t xml:space="preserve"> influence </w:t>
      </w:r>
      <w:r w:rsidR="00320904" w:rsidRPr="00004507">
        <w:rPr>
          <w:rFonts w:ascii="Arial" w:hAnsi="Arial" w:cs="Arial"/>
          <w:color w:val="000000" w:themeColor="text1"/>
          <w:lang w:val="en-US"/>
        </w:rPr>
        <w:t>visual clinical parameters</w:t>
      </w:r>
      <w:r w:rsidR="0061408F">
        <w:rPr>
          <w:rFonts w:ascii="Arial" w:hAnsi="Arial" w:cs="Arial"/>
          <w:color w:val="000000" w:themeColor="text1"/>
          <w:lang w:val="en-US"/>
        </w:rPr>
        <w:t xml:space="preserve"> in stratification analysis</w:t>
      </w:r>
      <w:r w:rsidR="00320904" w:rsidRPr="00004507">
        <w:rPr>
          <w:rFonts w:ascii="Arial" w:hAnsi="Arial" w:cs="Arial"/>
          <w:color w:val="000000" w:themeColor="text1"/>
          <w:lang w:val="en-US"/>
        </w:rPr>
        <w:t>.</w:t>
      </w:r>
      <w:r w:rsidR="00320904">
        <w:rPr>
          <w:rFonts w:ascii="Arial" w:hAnsi="Arial" w:cs="Arial"/>
          <w:color w:val="000000" w:themeColor="text1"/>
          <w:lang w:val="en-US"/>
        </w:rPr>
        <w:t xml:space="preserve"> </w:t>
      </w:r>
      <w:r w:rsidR="002A6B9C">
        <w:rPr>
          <w:rFonts w:ascii="Arial" w:hAnsi="Arial" w:cs="Arial"/>
          <w:color w:val="000000" w:themeColor="text1"/>
          <w:lang w:val="en-US"/>
        </w:rPr>
        <w:t xml:space="preserve">On the other hand, </w:t>
      </w:r>
      <w:r w:rsidR="00567021">
        <w:rPr>
          <w:rFonts w:ascii="Arial" w:hAnsi="Arial" w:cs="Arial"/>
          <w:color w:val="000000" w:themeColor="text1"/>
          <w:lang w:val="en-US"/>
        </w:rPr>
        <w:t>in correlation analysis</w:t>
      </w:r>
      <w:r w:rsidR="00DD6C27">
        <w:rPr>
          <w:rFonts w:ascii="Arial" w:hAnsi="Arial" w:cs="Arial"/>
          <w:color w:val="000000" w:themeColor="text1"/>
          <w:lang w:val="en-US"/>
        </w:rPr>
        <w:t>,</w:t>
      </w:r>
      <w:r w:rsidR="00567021">
        <w:rPr>
          <w:rFonts w:ascii="Arial" w:hAnsi="Arial" w:cs="Arial"/>
          <w:color w:val="000000" w:themeColor="text1"/>
          <w:lang w:val="en-US"/>
        </w:rPr>
        <w:t xml:space="preserve"> p</w:t>
      </w:r>
      <w:r w:rsidR="002A6B9C">
        <w:rPr>
          <w:rFonts w:ascii="Arial" w:hAnsi="Arial" w:cs="Arial"/>
          <w:color w:val="000000" w:themeColor="text1"/>
          <w:lang w:val="en-US"/>
        </w:rPr>
        <w:t xml:space="preserve">attern standard deviation </w:t>
      </w:r>
      <w:r w:rsidR="002A6B9C" w:rsidRPr="00004507">
        <w:rPr>
          <w:rFonts w:ascii="Arial" w:hAnsi="Arial" w:cs="Arial"/>
          <w:color w:val="000000" w:themeColor="text1"/>
          <w:lang w:val="en-US"/>
        </w:rPr>
        <w:t>was signific</w:t>
      </w:r>
      <w:r w:rsidR="002A6B9C">
        <w:rPr>
          <w:rFonts w:ascii="Arial" w:hAnsi="Arial" w:cs="Arial"/>
          <w:color w:val="000000" w:themeColor="text1"/>
          <w:lang w:val="en-US"/>
        </w:rPr>
        <w:t>antly correlated with the</w:t>
      </w:r>
      <w:r w:rsidR="002A6B9C" w:rsidRPr="00004507">
        <w:rPr>
          <w:rFonts w:ascii="Arial" w:hAnsi="Arial" w:cs="Arial"/>
          <w:color w:val="000000" w:themeColor="text1"/>
          <w:lang w:val="en-US"/>
        </w:rPr>
        <w:t xml:space="preserve"> </w:t>
      </w:r>
      <w:r w:rsidR="002A6B9C" w:rsidRPr="00004507">
        <w:rPr>
          <w:rFonts w:ascii="Arial" w:hAnsi="Arial" w:cs="Arial"/>
          <w:i/>
          <w:color w:val="000000" w:themeColor="text1"/>
          <w:lang w:val="en-US"/>
        </w:rPr>
        <w:t>−107T/C</w:t>
      </w:r>
      <w:r w:rsidR="002A6B9C" w:rsidRPr="00004507">
        <w:rPr>
          <w:rFonts w:ascii="Arial" w:hAnsi="Arial" w:cs="Arial"/>
          <w:color w:val="000000" w:themeColor="text1"/>
          <w:lang w:val="en-US"/>
        </w:rPr>
        <w:t xml:space="preserve"> genotypes</w:t>
      </w:r>
      <w:r w:rsidR="002A6B9C">
        <w:rPr>
          <w:rFonts w:ascii="Arial" w:hAnsi="Arial" w:cs="Arial"/>
          <w:color w:val="000000" w:themeColor="text1"/>
          <w:lang w:val="en-US"/>
        </w:rPr>
        <w:t xml:space="preserve"> in PEX group.</w:t>
      </w:r>
      <w:r w:rsidR="002A6B9C" w:rsidRPr="00004507">
        <w:rPr>
          <w:rFonts w:ascii="Arial" w:hAnsi="Arial" w:cs="Arial"/>
          <w:color w:val="000000" w:themeColor="text1"/>
          <w:lang w:val="en-US"/>
        </w:rPr>
        <w:t xml:space="preserve"> </w:t>
      </w:r>
      <w:r w:rsidR="00DD6C27">
        <w:rPr>
          <w:rFonts w:ascii="Arial" w:hAnsi="Arial" w:cs="Arial"/>
          <w:color w:val="000000" w:themeColor="text1"/>
          <w:lang w:val="en-US"/>
        </w:rPr>
        <w:t>In addition, i</w:t>
      </w:r>
      <w:r w:rsidR="002A6B9C">
        <w:rPr>
          <w:rFonts w:ascii="Arial" w:hAnsi="Arial" w:cs="Arial"/>
          <w:color w:val="000000" w:themeColor="text1"/>
          <w:lang w:val="en-US"/>
        </w:rPr>
        <w:t>ntraocular pressure</w:t>
      </w:r>
      <w:r w:rsidR="002A6B9C" w:rsidRPr="00004507">
        <w:rPr>
          <w:rFonts w:ascii="Arial" w:hAnsi="Arial" w:cs="Arial"/>
          <w:color w:val="000000" w:themeColor="text1"/>
          <w:lang w:val="en-US"/>
        </w:rPr>
        <w:t xml:space="preserve"> was correlated with the </w:t>
      </w:r>
      <w:r w:rsidR="002A6B9C" w:rsidRPr="00004507">
        <w:rPr>
          <w:rFonts w:ascii="Arial" w:hAnsi="Arial" w:cs="Arial"/>
          <w:i/>
          <w:color w:val="000000" w:themeColor="text1"/>
          <w:lang w:val="en-US"/>
        </w:rPr>
        <w:t>55L/M</w:t>
      </w:r>
      <w:r w:rsidR="00DD6C27">
        <w:rPr>
          <w:rFonts w:ascii="Arial" w:hAnsi="Arial" w:cs="Arial"/>
          <w:color w:val="000000" w:themeColor="text1"/>
          <w:lang w:val="en-US"/>
        </w:rPr>
        <w:t xml:space="preserve"> genotypes</w:t>
      </w:r>
      <w:r w:rsidR="002A6B9C" w:rsidRPr="00004507">
        <w:rPr>
          <w:rFonts w:ascii="Arial" w:hAnsi="Arial" w:cs="Arial"/>
          <w:color w:val="000000" w:themeColor="text1"/>
          <w:lang w:val="en-US"/>
        </w:rPr>
        <w:t xml:space="preserve"> and </w:t>
      </w:r>
      <w:r w:rsidR="00567021">
        <w:rPr>
          <w:rFonts w:ascii="Arial" w:hAnsi="Arial" w:cs="Arial"/>
          <w:color w:val="000000" w:themeColor="text1"/>
          <w:lang w:val="en-US"/>
        </w:rPr>
        <w:t>mean deviation w</w:t>
      </w:r>
      <w:r w:rsidR="002A6B9C" w:rsidRPr="00004507">
        <w:rPr>
          <w:rFonts w:ascii="Arial" w:hAnsi="Arial" w:cs="Arial"/>
          <w:color w:val="000000" w:themeColor="text1"/>
          <w:lang w:val="en-US"/>
        </w:rPr>
        <w:t xml:space="preserve">as correlated with </w:t>
      </w:r>
      <w:r w:rsidR="00567021">
        <w:rPr>
          <w:rFonts w:ascii="Arial" w:hAnsi="Arial" w:cs="Arial"/>
          <w:color w:val="000000" w:themeColor="text1"/>
          <w:lang w:val="en-US"/>
        </w:rPr>
        <w:t>the</w:t>
      </w:r>
      <w:r w:rsidR="002A6B9C" w:rsidRPr="00004507">
        <w:rPr>
          <w:rFonts w:ascii="Arial" w:hAnsi="Arial" w:cs="Arial"/>
          <w:i/>
          <w:color w:val="000000" w:themeColor="text1"/>
          <w:lang w:val="en-US"/>
        </w:rPr>
        <w:t xml:space="preserve"> </w:t>
      </w:r>
      <w:r w:rsidR="002A6B9C" w:rsidRPr="00004507">
        <w:rPr>
          <w:rFonts w:ascii="Arial" w:hAnsi="Arial" w:cs="Arial"/>
          <w:i/>
          <w:color w:val="000000"/>
          <w:lang w:val="en-US"/>
        </w:rPr>
        <w:t>−</w:t>
      </w:r>
      <w:r w:rsidR="002A6B9C" w:rsidRPr="00004507">
        <w:rPr>
          <w:rFonts w:ascii="Arial" w:hAnsi="Arial" w:cs="Arial"/>
          <w:i/>
          <w:color w:val="000000" w:themeColor="text1"/>
          <w:lang w:val="en-US"/>
        </w:rPr>
        <w:t>107T/C</w:t>
      </w:r>
      <w:r w:rsidR="00DD6C27">
        <w:rPr>
          <w:rFonts w:ascii="Arial" w:hAnsi="Arial" w:cs="Arial"/>
          <w:color w:val="000000" w:themeColor="text1"/>
          <w:lang w:val="en-US"/>
        </w:rPr>
        <w:t xml:space="preserve"> genotypes</w:t>
      </w:r>
      <w:r w:rsidR="00567021">
        <w:rPr>
          <w:rFonts w:ascii="Arial" w:hAnsi="Arial" w:cs="Arial"/>
          <w:color w:val="000000" w:themeColor="text1"/>
          <w:lang w:val="en-US"/>
        </w:rPr>
        <w:t xml:space="preserve"> i</w:t>
      </w:r>
      <w:r w:rsidR="00567021" w:rsidRPr="00004507">
        <w:rPr>
          <w:rFonts w:ascii="Arial" w:hAnsi="Arial" w:cs="Arial"/>
          <w:color w:val="000000" w:themeColor="text1"/>
          <w:lang w:val="en-US"/>
        </w:rPr>
        <w:t>n the</w:t>
      </w:r>
      <w:r w:rsidR="00567021">
        <w:rPr>
          <w:rFonts w:ascii="Arial" w:hAnsi="Arial" w:cs="Arial"/>
          <w:color w:val="000000" w:themeColor="text1"/>
          <w:lang w:val="en-US"/>
        </w:rPr>
        <w:t xml:space="preserve"> control group.</w:t>
      </w:r>
      <w:r w:rsidR="002A6B9C" w:rsidRPr="00004507">
        <w:rPr>
          <w:rFonts w:ascii="Arial" w:hAnsi="Arial" w:cs="Arial"/>
          <w:color w:val="000000" w:themeColor="text1"/>
          <w:lang w:val="en-US"/>
        </w:rPr>
        <w:t xml:space="preserve">  </w:t>
      </w:r>
      <w:r w:rsidR="00567021">
        <w:rPr>
          <w:rFonts w:ascii="Arial" w:hAnsi="Arial" w:cs="Arial"/>
          <w:color w:val="000000" w:themeColor="text1"/>
          <w:lang w:val="en-US"/>
        </w:rPr>
        <w:t>Furthermore, i</w:t>
      </w:r>
      <w:r w:rsidR="002A6B9C">
        <w:rPr>
          <w:rFonts w:ascii="Arial" w:hAnsi="Arial" w:cs="Arial"/>
          <w:color w:val="000000" w:themeColor="text1"/>
          <w:lang w:val="en-US"/>
        </w:rPr>
        <w:t xml:space="preserve">ntraocular pressure </w:t>
      </w:r>
      <w:r w:rsidR="00983305" w:rsidRPr="00004507">
        <w:rPr>
          <w:rFonts w:ascii="Arial" w:hAnsi="Arial" w:cs="Arial"/>
          <w:color w:val="000000" w:themeColor="text1"/>
          <w:lang w:val="en-US"/>
        </w:rPr>
        <w:t>was significantly inversely correlated with sex (</w:t>
      </w:r>
      <w:r w:rsidR="00983305" w:rsidRPr="00004507">
        <w:rPr>
          <w:rFonts w:ascii="Arial" w:hAnsi="Arial" w:cs="Arial"/>
          <w:i/>
          <w:color w:val="000000" w:themeColor="text1"/>
          <w:lang w:val="en-US"/>
        </w:rPr>
        <w:t xml:space="preserve">r </w:t>
      </w:r>
      <w:r w:rsidR="00983305" w:rsidRPr="00004507">
        <w:rPr>
          <w:rFonts w:ascii="Arial" w:hAnsi="Arial" w:cs="Arial"/>
          <w:color w:val="000000" w:themeColor="text1"/>
          <w:lang w:val="en-US"/>
        </w:rPr>
        <w:t>=</w:t>
      </w:r>
      <w:r w:rsidR="00983305" w:rsidRPr="00004507">
        <w:rPr>
          <w:rFonts w:ascii="Arial" w:hAnsi="Arial" w:cs="Arial"/>
          <w:color w:val="000000"/>
          <w:lang w:val="en-US"/>
        </w:rPr>
        <w:t xml:space="preserve"> −</w:t>
      </w:r>
      <w:r w:rsidR="00983305" w:rsidRPr="00004507">
        <w:rPr>
          <w:rFonts w:ascii="Arial" w:hAnsi="Arial" w:cs="Arial"/>
          <w:color w:val="000000" w:themeColor="text1"/>
          <w:lang w:val="en-US"/>
        </w:rPr>
        <w:t>0.116, P = 0.011)</w:t>
      </w:r>
      <w:r w:rsidR="006F306C">
        <w:rPr>
          <w:rFonts w:ascii="Arial" w:hAnsi="Arial" w:cs="Arial"/>
          <w:color w:val="000000" w:themeColor="text1"/>
          <w:lang w:val="en-US"/>
        </w:rPr>
        <w:t xml:space="preserve"> in the overall study group.</w:t>
      </w:r>
      <w:r w:rsidR="002A6B9C">
        <w:rPr>
          <w:rFonts w:ascii="Arial" w:hAnsi="Arial" w:cs="Arial"/>
          <w:color w:val="000000" w:themeColor="text1"/>
          <w:lang w:val="en-US"/>
        </w:rPr>
        <w:t xml:space="preserve"> </w:t>
      </w:r>
      <w:r w:rsidR="003B1F86" w:rsidRPr="00004507">
        <w:rPr>
          <w:rFonts w:ascii="Arial" w:hAnsi="Arial" w:cs="Arial"/>
          <w:color w:val="000000" w:themeColor="text1"/>
          <w:lang w:val="en-US"/>
        </w:rPr>
        <w:t xml:space="preserve">Logistic regression analysis showed that having </w:t>
      </w:r>
      <w:r w:rsidR="004B5629" w:rsidRPr="00004507">
        <w:rPr>
          <w:rFonts w:ascii="Arial" w:hAnsi="Arial" w:cs="Arial"/>
          <w:color w:val="000000" w:themeColor="text1"/>
          <w:lang w:val="en-US"/>
        </w:rPr>
        <w:t xml:space="preserve">a </w:t>
      </w:r>
      <w:r w:rsidR="003B17EC" w:rsidRPr="00004507">
        <w:rPr>
          <w:rFonts w:ascii="Arial" w:hAnsi="Arial" w:cs="Arial"/>
          <w:i/>
          <w:color w:val="000000" w:themeColor="text1"/>
          <w:lang w:val="en-US"/>
        </w:rPr>
        <w:t>PON1</w:t>
      </w:r>
      <w:r w:rsidR="003B17EC" w:rsidRPr="00004507">
        <w:rPr>
          <w:rFonts w:ascii="Arial" w:hAnsi="Arial" w:cs="Arial"/>
          <w:color w:val="000000" w:themeColor="text1"/>
          <w:lang w:val="en-US"/>
        </w:rPr>
        <w:t xml:space="preserve"> </w:t>
      </w:r>
      <w:r w:rsidR="003B17EC" w:rsidRPr="00004507">
        <w:rPr>
          <w:rFonts w:ascii="Arial" w:hAnsi="Arial" w:cs="Arial"/>
          <w:i/>
          <w:color w:val="000000" w:themeColor="text1"/>
          <w:lang w:val="en-US"/>
        </w:rPr>
        <w:t>−</w:t>
      </w:r>
      <w:r w:rsidR="003B1F86" w:rsidRPr="00004507">
        <w:rPr>
          <w:rFonts w:ascii="Arial" w:hAnsi="Arial" w:cs="Arial"/>
          <w:i/>
          <w:color w:val="000000" w:themeColor="text1"/>
          <w:lang w:val="en-US"/>
        </w:rPr>
        <w:t xml:space="preserve">107TC </w:t>
      </w:r>
      <w:r w:rsidR="003B1F86" w:rsidRPr="00004507">
        <w:rPr>
          <w:rFonts w:ascii="Arial" w:hAnsi="Arial" w:cs="Arial"/>
          <w:color w:val="000000" w:themeColor="text1"/>
          <w:lang w:val="en-US"/>
        </w:rPr>
        <w:t xml:space="preserve">or </w:t>
      </w:r>
      <w:r w:rsidR="003B1F86" w:rsidRPr="00004507">
        <w:rPr>
          <w:rFonts w:ascii="Arial" w:hAnsi="Arial" w:cs="Arial"/>
          <w:i/>
          <w:color w:val="000000" w:themeColor="text1"/>
          <w:lang w:val="en-US"/>
        </w:rPr>
        <w:t>CC</w:t>
      </w:r>
      <w:r w:rsidR="003B1F86" w:rsidRPr="00004507">
        <w:rPr>
          <w:rFonts w:ascii="Arial" w:hAnsi="Arial" w:cs="Arial"/>
          <w:color w:val="000000" w:themeColor="text1"/>
          <w:lang w:val="en-US"/>
        </w:rPr>
        <w:t xml:space="preserve"> genotype is significantly associated with PEX (OR=1.909, P=0.020). </w:t>
      </w:r>
    </w:p>
    <w:p w14:paraId="03D94687" w14:textId="10B759CE" w:rsidR="004620DA" w:rsidRPr="00004507" w:rsidRDefault="008C297E" w:rsidP="003B24EE">
      <w:pPr>
        <w:spacing w:line="276" w:lineRule="auto"/>
        <w:contextualSpacing/>
        <w:jc w:val="both"/>
        <w:rPr>
          <w:rFonts w:ascii="Arial" w:hAnsi="Arial" w:cs="Arial"/>
          <w:color w:val="000000" w:themeColor="text1"/>
          <w:lang w:val="en-US"/>
        </w:rPr>
      </w:pPr>
      <w:r w:rsidRPr="00004507">
        <w:rPr>
          <w:rFonts w:ascii="Arial" w:hAnsi="Arial" w:cs="Arial"/>
          <w:b/>
          <w:color w:val="000000" w:themeColor="text1"/>
          <w:lang w:val="en-US"/>
        </w:rPr>
        <w:t>Conclusions:</w:t>
      </w:r>
      <w:r w:rsidRPr="00004507">
        <w:rPr>
          <w:rFonts w:ascii="Arial" w:hAnsi="Arial" w:cs="Arial"/>
          <w:color w:val="000000" w:themeColor="text1"/>
          <w:lang w:val="en-US"/>
        </w:rPr>
        <w:t xml:space="preserve"> </w:t>
      </w:r>
      <w:r w:rsidR="00915BF0" w:rsidRPr="00004507">
        <w:rPr>
          <w:rFonts w:ascii="Arial" w:hAnsi="Arial" w:cs="Arial"/>
          <w:color w:val="000000" w:themeColor="text1"/>
          <w:lang w:val="en-US"/>
        </w:rPr>
        <w:t>This</w:t>
      </w:r>
      <w:r w:rsidR="00F00D4F" w:rsidRPr="00004507">
        <w:rPr>
          <w:rFonts w:ascii="Arial" w:hAnsi="Arial" w:cs="Arial"/>
          <w:color w:val="000000" w:themeColor="text1"/>
          <w:lang w:val="en-US"/>
        </w:rPr>
        <w:t xml:space="preserve"> study</w:t>
      </w:r>
      <w:r w:rsidR="00F708FB" w:rsidRPr="00004507">
        <w:rPr>
          <w:rFonts w:ascii="Arial" w:hAnsi="Arial" w:cs="Arial"/>
          <w:color w:val="000000" w:themeColor="text1"/>
          <w:lang w:val="en-US"/>
        </w:rPr>
        <w:t>,</w:t>
      </w:r>
      <w:r w:rsidR="00F00D4F" w:rsidRPr="00004507">
        <w:rPr>
          <w:rFonts w:ascii="Arial" w:hAnsi="Arial" w:cs="Arial"/>
          <w:color w:val="000000" w:themeColor="text1"/>
          <w:lang w:val="en-US"/>
        </w:rPr>
        <w:t xml:space="preserve"> for the </w:t>
      </w:r>
      <w:r w:rsidR="00915BF0" w:rsidRPr="00004507">
        <w:rPr>
          <w:rFonts w:ascii="Arial" w:hAnsi="Arial" w:cs="Arial"/>
          <w:color w:val="000000" w:themeColor="text1"/>
          <w:lang w:val="en-US"/>
        </w:rPr>
        <w:t xml:space="preserve">first </w:t>
      </w:r>
      <w:r w:rsidR="00F00D4F" w:rsidRPr="00004507">
        <w:rPr>
          <w:rFonts w:ascii="Arial" w:hAnsi="Arial" w:cs="Arial"/>
          <w:color w:val="000000" w:themeColor="text1"/>
          <w:lang w:val="en-US"/>
        </w:rPr>
        <w:t>time</w:t>
      </w:r>
      <w:r w:rsidR="00F708FB" w:rsidRPr="00004507">
        <w:rPr>
          <w:rFonts w:ascii="Arial" w:hAnsi="Arial" w:cs="Arial"/>
          <w:color w:val="000000" w:themeColor="text1"/>
          <w:lang w:val="en-US"/>
        </w:rPr>
        <w:t>,</w:t>
      </w:r>
      <w:r w:rsidR="00F00D4F" w:rsidRPr="00004507">
        <w:rPr>
          <w:rFonts w:ascii="Arial" w:hAnsi="Arial" w:cs="Arial"/>
          <w:color w:val="000000" w:themeColor="text1"/>
          <w:lang w:val="en-US"/>
        </w:rPr>
        <w:t xml:space="preserve"> </w:t>
      </w:r>
      <w:r w:rsidR="00D26E0A">
        <w:rPr>
          <w:rFonts w:ascii="Arial" w:hAnsi="Arial" w:cs="Arial"/>
          <w:color w:val="000000" w:themeColor="text1"/>
          <w:lang w:val="en-US"/>
        </w:rPr>
        <w:t>analyzed the</w:t>
      </w:r>
      <w:r w:rsidR="00D9273B" w:rsidRPr="00004507">
        <w:rPr>
          <w:rFonts w:ascii="Arial" w:hAnsi="Arial" w:cs="Arial"/>
          <w:color w:val="000000" w:themeColor="text1"/>
          <w:lang w:val="en-US"/>
        </w:rPr>
        <w:t xml:space="preserve"> relationship</w:t>
      </w:r>
      <w:r w:rsidR="00F00D4F" w:rsidRPr="00004507">
        <w:rPr>
          <w:rFonts w:ascii="Arial" w:hAnsi="Arial" w:cs="Arial"/>
          <w:color w:val="000000" w:themeColor="text1"/>
          <w:lang w:val="en-US"/>
        </w:rPr>
        <w:t xml:space="preserve"> between </w:t>
      </w:r>
      <w:r w:rsidR="00915BF0" w:rsidRPr="00004507">
        <w:rPr>
          <w:rFonts w:ascii="Arial" w:hAnsi="Arial" w:cs="Arial"/>
          <w:i/>
          <w:color w:val="000000" w:themeColor="text1"/>
          <w:lang w:val="en-US"/>
        </w:rPr>
        <w:t xml:space="preserve">PON1 </w:t>
      </w:r>
      <w:r w:rsidR="00915BF0" w:rsidRPr="00004507">
        <w:rPr>
          <w:rFonts w:ascii="Arial" w:hAnsi="Arial" w:cs="Arial"/>
          <w:color w:val="000000" w:themeColor="text1"/>
          <w:lang w:val="en-US"/>
        </w:rPr>
        <w:t>geneti</w:t>
      </w:r>
      <w:r w:rsidR="008E5179" w:rsidRPr="00004507">
        <w:rPr>
          <w:rFonts w:ascii="Arial" w:hAnsi="Arial" w:cs="Arial"/>
          <w:color w:val="000000" w:themeColor="text1"/>
          <w:lang w:val="en-US"/>
        </w:rPr>
        <w:t xml:space="preserve">c </w:t>
      </w:r>
      <w:r w:rsidR="001879D8">
        <w:rPr>
          <w:rFonts w:ascii="Arial" w:hAnsi="Arial" w:cs="Arial"/>
          <w:color w:val="000000" w:themeColor="text1"/>
          <w:lang w:val="en-US"/>
        </w:rPr>
        <w:t>variant</w:t>
      </w:r>
      <w:r w:rsidR="001879D8" w:rsidRPr="00004507">
        <w:rPr>
          <w:rFonts w:ascii="Arial" w:hAnsi="Arial" w:cs="Arial"/>
          <w:color w:val="000000" w:themeColor="text1"/>
          <w:lang w:val="en-US"/>
        </w:rPr>
        <w:t>s</w:t>
      </w:r>
      <w:r w:rsidR="008E5179" w:rsidRPr="00004507">
        <w:rPr>
          <w:rFonts w:ascii="Arial" w:hAnsi="Arial" w:cs="Arial"/>
          <w:color w:val="000000" w:themeColor="text1"/>
          <w:lang w:val="en-US"/>
        </w:rPr>
        <w:t xml:space="preserve">, clinical visual parameters, and </w:t>
      </w:r>
      <w:r w:rsidR="00703BEB" w:rsidRPr="00004507">
        <w:rPr>
          <w:rFonts w:ascii="Arial" w:hAnsi="Arial" w:cs="Arial"/>
          <w:color w:val="000000" w:themeColor="text1"/>
          <w:lang w:val="en-US"/>
        </w:rPr>
        <w:t>PEX/PEG</w:t>
      </w:r>
      <w:r w:rsidR="00915BF0" w:rsidRPr="00004507">
        <w:rPr>
          <w:rFonts w:ascii="Arial" w:hAnsi="Arial" w:cs="Arial"/>
          <w:color w:val="000000" w:themeColor="text1"/>
          <w:lang w:val="en-US"/>
        </w:rPr>
        <w:t>.</w:t>
      </w:r>
      <w:r w:rsidR="00703BEB" w:rsidRPr="00004507">
        <w:rPr>
          <w:rFonts w:ascii="Arial" w:hAnsi="Arial" w:cs="Arial"/>
          <w:color w:val="000000" w:themeColor="text1"/>
          <w:lang w:val="en-US"/>
        </w:rPr>
        <w:t xml:space="preserve"> </w:t>
      </w:r>
      <w:r w:rsidR="00A62499">
        <w:rPr>
          <w:rFonts w:ascii="Arial" w:hAnsi="Arial" w:cs="Arial"/>
          <w:color w:val="000000" w:themeColor="text1"/>
          <w:lang w:val="en-US"/>
        </w:rPr>
        <w:t>The results indicate</w:t>
      </w:r>
      <w:r w:rsidR="00B51ECF">
        <w:rPr>
          <w:rFonts w:ascii="Arial" w:hAnsi="Arial" w:cs="Arial"/>
          <w:color w:val="000000" w:themeColor="text1"/>
          <w:lang w:val="en-US"/>
        </w:rPr>
        <w:t>d</w:t>
      </w:r>
      <w:r w:rsidR="00A62499">
        <w:rPr>
          <w:rFonts w:ascii="Arial" w:hAnsi="Arial" w:cs="Arial"/>
          <w:color w:val="000000" w:themeColor="text1"/>
          <w:lang w:val="en-US"/>
        </w:rPr>
        <w:t xml:space="preserve"> a</w:t>
      </w:r>
      <w:r w:rsidR="00F01350">
        <w:rPr>
          <w:rFonts w:ascii="Arial" w:hAnsi="Arial" w:cs="Arial"/>
          <w:color w:val="000000" w:themeColor="text1"/>
          <w:lang w:val="en-US"/>
        </w:rPr>
        <w:t xml:space="preserve"> possible</w:t>
      </w:r>
      <w:r w:rsidR="00A62499">
        <w:rPr>
          <w:rFonts w:ascii="Arial" w:hAnsi="Arial" w:cs="Arial"/>
          <w:color w:val="000000" w:themeColor="text1"/>
          <w:lang w:val="en-US"/>
        </w:rPr>
        <w:t xml:space="preserve"> role for </w:t>
      </w:r>
      <w:r w:rsidR="00682FE5">
        <w:rPr>
          <w:rFonts w:ascii="Arial" w:hAnsi="Arial" w:cs="Arial"/>
          <w:color w:val="000000" w:themeColor="text1"/>
          <w:lang w:val="en-US"/>
        </w:rPr>
        <w:t xml:space="preserve">the </w:t>
      </w:r>
      <w:r w:rsidR="00A62499" w:rsidRPr="00682FE5">
        <w:rPr>
          <w:rFonts w:ascii="Arial" w:hAnsi="Arial" w:cs="Arial"/>
          <w:i/>
          <w:color w:val="000000" w:themeColor="text1"/>
          <w:lang w:val="en-US"/>
        </w:rPr>
        <w:t>PON1</w:t>
      </w:r>
      <w:r w:rsidR="00CD4D01">
        <w:rPr>
          <w:rFonts w:ascii="Arial" w:hAnsi="Arial" w:cs="Arial"/>
          <w:color w:val="000000" w:themeColor="text1"/>
          <w:lang w:val="en-US"/>
        </w:rPr>
        <w:t xml:space="preserve"> </w:t>
      </w:r>
      <w:r w:rsidR="00B51ECF">
        <w:rPr>
          <w:rFonts w:ascii="Arial" w:hAnsi="Arial" w:cs="Arial"/>
          <w:color w:val="000000" w:themeColor="text1"/>
          <w:lang w:val="en-US"/>
        </w:rPr>
        <w:t>promoter variant</w:t>
      </w:r>
      <w:r w:rsidR="00A62499">
        <w:rPr>
          <w:rFonts w:ascii="Arial" w:hAnsi="Arial" w:cs="Arial"/>
          <w:color w:val="000000" w:themeColor="text1"/>
          <w:lang w:val="en-US"/>
        </w:rPr>
        <w:t xml:space="preserve"> in </w:t>
      </w:r>
      <w:r w:rsidR="00B51ECF">
        <w:rPr>
          <w:rFonts w:ascii="Arial" w:hAnsi="Arial" w:cs="Arial"/>
          <w:color w:val="000000" w:themeColor="text1"/>
          <w:lang w:val="en-US"/>
        </w:rPr>
        <w:t>PEX</w:t>
      </w:r>
      <w:r w:rsidR="00A62499">
        <w:rPr>
          <w:rFonts w:ascii="Arial" w:hAnsi="Arial" w:cs="Arial"/>
          <w:color w:val="000000" w:themeColor="text1"/>
          <w:lang w:val="en-US"/>
        </w:rPr>
        <w:t>.</w:t>
      </w:r>
    </w:p>
    <w:p w14:paraId="7F80E5CF" w14:textId="77777777" w:rsidR="003B24EE" w:rsidRPr="00004507" w:rsidRDefault="003B24EE" w:rsidP="003B24EE">
      <w:pPr>
        <w:spacing w:line="276" w:lineRule="auto"/>
        <w:contextualSpacing/>
        <w:jc w:val="both"/>
        <w:rPr>
          <w:rFonts w:ascii="Arial" w:hAnsi="Arial" w:cs="Arial"/>
          <w:color w:val="000000" w:themeColor="text1"/>
          <w:lang w:val="en-US"/>
        </w:rPr>
      </w:pPr>
    </w:p>
    <w:p w14:paraId="558AA32D" w14:textId="02E28D07" w:rsidR="005A30E7" w:rsidRPr="00004507" w:rsidRDefault="005A30E7" w:rsidP="00C15EA2">
      <w:pPr>
        <w:spacing w:after="240" w:line="276" w:lineRule="auto"/>
        <w:jc w:val="both"/>
        <w:rPr>
          <w:rFonts w:ascii="Arial" w:hAnsi="Arial" w:cs="Arial"/>
          <w:color w:val="000000" w:themeColor="text1"/>
          <w:lang w:val="en-US"/>
        </w:rPr>
      </w:pPr>
      <w:r w:rsidRPr="00004507">
        <w:rPr>
          <w:rFonts w:ascii="Arial" w:hAnsi="Arial" w:cs="Arial"/>
          <w:b/>
          <w:color w:val="000000" w:themeColor="text1"/>
          <w:lang w:val="en-US"/>
        </w:rPr>
        <w:t xml:space="preserve">Keywords: </w:t>
      </w:r>
      <w:r w:rsidR="005770A7" w:rsidRPr="00004507">
        <w:rPr>
          <w:rFonts w:ascii="Arial" w:hAnsi="Arial" w:cs="Arial"/>
          <w:color w:val="000000" w:themeColor="text1"/>
          <w:lang w:val="en-US"/>
        </w:rPr>
        <w:t xml:space="preserve">IOP; mean deviation; pattern standard deviation; </w:t>
      </w:r>
      <w:r w:rsidR="004857C5">
        <w:rPr>
          <w:rFonts w:ascii="Arial" w:hAnsi="Arial" w:cs="Arial"/>
          <w:color w:val="000000" w:themeColor="text1"/>
          <w:lang w:val="en-US"/>
        </w:rPr>
        <w:t xml:space="preserve">polymorphism; </w:t>
      </w:r>
      <w:r w:rsidR="005770A7" w:rsidRPr="00004507">
        <w:rPr>
          <w:rFonts w:ascii="Arial" w:hAnsi="Arial" w:cs="Arial"/>
          <w:color w:val="000000" w:themeColor="text1"/>
          <w:lang w:val="en-US"/>
        </w:rPr>
        <w:t>visual field score</w:t>
      </w:r>
    </w:p>
    <w:p w14:paraId="486DE51E" w14:textId="4013E848" w:rsidR="00AF3A92" w:rsidRPr="00004507" w:rsidRDefault="00AF3A92" w:rsidP="00C15EA2">
      <w:pPr>
        <w:spacing w:line="276" w:lineRule="auto"/>
        <w:rPr>
          <w:rFonts w:ascii="Arial" w:hAnsi="Arial" w:cs="Arial"/>
          <w:color w:val="000000" w:themeColor="text1"/>
          <w:lang w:val="en-US"/>
        </w:rPr>
      </w:pPr>
    </w:p>
    <w:p w14:paraId="56C2D691" w14:textId="19F3FCAA" w:rsidR="00D40B89" w:rsidRPr="00004507" w:rsidRDefault="00D40B89" w:rsidP="00C15EA2">
      <w:pPr>
        <w:spacing w:line="276" w:lineRule="auto"/>
        <w:rPr>
          <w:rFonts w:ascii="Arial" w:hAnsi="Arial" w:cs="Arial"/>
          <w:color w:val="000000" w:themeColor="text1"/>
          <w:lang w:val="en-US"/>
        </w:rPr>
      </w:pPr>
    </w:p>
    <w:p w14:paraId="4030D662" w14:textId="2C9D322A" w:rsidR="002272C8" w:rsidRPr="00004507" w:rsidRDefault="002272C8" w:rsidP="00C15EA2">
      <w:pPr>
        <w:spacing w:line="276" w:lineRule="auto"/>
        <w:rPr>
          <w:rFonts w:ascii="Arial" w:hAnsi="Arial" w:cs="Arial"/>
          <w:color w:val="000000" w:themeColor="text1"/>
          <w:lang w:val="en-US"/>
        </w:rPr>
      </w:pPr>
    </w:p>
    <w:p w14:paraId="259A3074" w14:textId="4848F951" w:rsidR="002272C8" w:rsidRDefault="002272C8" w:rsidP="00C15EA2">
      <w:pPr>
        <w:spacing w:line="276" w:lineRule="auto"/>
        <w:rPr>
          <w:rFonts w:ascii="Arial" w:hAnsi="Arial" w:cs="Arial"/>
          <w:color w:val="000000" w:themeColor="text1"/>
          <w:lang w:val="en-US"/>
        </w:rPr>
      </w:pPr>
    </w:p>
    <w:p w14:paraId="329185F9" w14:textId="13CD815E" w:rsidR="001320A7" w:rsidRDefault="001320A7" w:rsidP="00C15EA2">
      <w:pPr>
        <w:spacing w:line="276" w:lineRule="auto"/>
        <w:rPr>
          <w:rFonts w:ascii="Arial" w:hAnsi="Arial" w:cs="Arial"/>
          <w:color w:val="000000" w:themeColor="text1"/>
          <w:lang w:val="en-US"/>
        </w:rPr>
      </w:pPr>
    </w:p>
    <w:p w14:paraId="4DE8B9CE" w14:textId="742CF8B0" w:rsidR="001320A7" w:rsidRDefault="001320A7" w:rsidP="00C15EA2">
      <w:pPr>
        <w:spacing w:line="276" w:lineRule="auto"/>
        <w:rPr>
          <w:rFonts w:ascii="Arial" w:hAnsi="Arial" w:cs="Arial"/>
          <w:color w:val="000000" w:themeColor="text1"/>
          <w:lang w:val="en-US"/>
        </w:rPr>
      </w:pPr>
    </w:p>
    <w:p w14:paraId="7C4D6481" w14:textId="4015B0B5" w:rsidR="001320A7" w:rsidRDefault="001320A7" w:rsidP="00C15EA2">
      <w:pPr>
        <w:spacing w:line="276" w:lineRule="auto"/>
        <w:rPr>
          <w:rFonts w:ascii="Arial" w:hAnsi="Arial" w:cs="Arial"/>
          <w:color w:val="000000" w:themeColor="text1"/>
          <w:lang w:val="en-US"/>
        </w:rPr>
      </w:pPr>
    </w:p>
    <w:p w14:paraId="1B28F5BC" w14:textId="0D67E8F1" w:rsidR="001320A7" w:rsidRDefault="001320A7" w:rsidP="00C15EA2">
      <w:pPr>
        <w:spacing w:line="276" w:lineRule="auto"/>
        <w:rPr>
          <w:rFonts w:ascii="Arial" w:hAnsi="Arial" w:cs="Arial"/>
          <w:color w:val="000000" w:themeColor="text1"/>
          <w:lang w:val="en-US"/>
        </w:rPr>
      </w:pPr>
    </w:p>
    <w:p w14:paraId="66602F81" w14:textId="77777777" w:rsidR="001320A7" w:rsidRPr="00004507" w:rsidRDefault="001320A7" w:rsidP="00C15EA2">
      <w:pPr>
        <w:spacing w:line="276" w:lineRule="auto"/>
        <w:rPr>
          <w:rFonts w:ascii="Arial" w:hAnsi="Arial" w:cs="Arial"/>
          <w:color w:val="000000" w:themeColor="text1"/>
          <w:lang w:val="en-US"/>
        </w:rPr>
      </w:pPr>
    </w:p>
    <w:p w14:paraId="1A89EF39" w14:textId="38AB2C28" w:rsidR="002272C8" w:rsidRPr="00004507" w:rsidRDefault="002272C8" w:rsidP="00C15EA2">
      <w:pPr>
        <w:spacing w:line="276" w:lineRule="auto"/>
        <w:rPr>
          <w:rFonts w:ascii="Arial" w:hAnsi="Arial" w:cs="Arial"/>
          <w:color w:val="000000" w:themeColor="text1"/>
          <w:lang w:val="en-US"/>
        </w:rPr>
      </w:pPr>
    </w:p>
    <w:p w14:paraId="6883A638" w14:textId="5AFD9760" w:rsidR="00D40B89" w:rsidRPr="00004507" w:rsidRDefault="00D63095" w:rsidP="00C15EA2">
      <w:pPr>
        <w:spacing w:line="276" w:lineRule="auto"/>
        <w:rPr>
          <w:rFonts w:ascii="Arial" w:hAnsi="Arial" w:cs="Arial"/>
          <w:b/>
          <w:color w:val="000000" w:themeColor="text1"/>
          <w:lang w:val="en-US"/>
        </w:rPr>
      </w:pPr>
      <w:r w:rsidRPr="00004507">
        <w:rPr>
          <w:rFonts w:ascii="Arial" w:hAnsi="Arial" w:cs="Arial"/>
          <w:b/>
          <w:color w:val="000000" w:themeColor="text1"/>
          <w:lang w:val="en-US"/>
        </w:rPr>
        <w:lastRenderedPageBreak/>
        <w:t>Abbreviations</w:t>
      </w:r>
    </w:p>
    <w:p w14:paraId="01CABC5F" w14:textId="4AE1128C" w:rsidR="003F0850" w:rsidRPr="00004507" w:rsidRDefault="00C708D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DNA: De</w:t>
      </w:r>
      <w:r w:rsidR="003F0850" w:rsidRPr="00004507">
        <w:rPr>
          <w:rFonts w:ascii="Arial" w:hAnsi="Arial" w:cs="Arial"/>
          <w:color w:val="000000" w:themeColor="text1"/>
          <w:lang w:val="en-US"/>
        </w:rPr>
        <w:t>oxyribonucleic acid</w:t>
      </w:r>
    </w:p>
    <w:p w14:paraId="0FF2CECA" w14:textId="1969901F" w:rsidR="00D63095" w:rsidRPr="00004507" w:rsidRDefault="00D6309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IOP: Intraocular pressure</w:t>
      </w:r>
    </w:p>
    <w:p w14:paraId="7262949C" w14:textId="4A97B3CB" w:rsidR="00D63095" w:rsidRPr="00004507" w:rsidRDefault="00D6309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MD: Mean deviation</w:t>
      </w:r>
    </w:p>
    <w:p w14:paraId="30025368" w14:textId="49C0E246" w:rsidR="00B76634" w:rsidRPr="00004507" w:rsidRDefault="00B76634"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PCR: Polymerase chain reaction</w:t>
      </w:r>
    </w:p>
    <w:p w14:paraId="60F61944" w14:textId="44DB66C4" w:rsidR="00D63095" w:rsidRPr="00004507" w:rsidRDefault="00D6309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 xml:space="preserve">PEX: Pseudoexfoliation syndrome </w:t>
      </w:r>
    </w:p>
    <w:p w14:paraId="34D38E46" w14:textId="05BFB907" w:rsidR="00D40B89" w:rsidRPr="00004507" w:rsidRDefault="00D6309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 xml:space="preserve">PEG: Pseudoexfoliative glaucoma </w:t>
      </w:r>
    </w:p>
    <w:p w14:paraId="22D6A6A3" w14:textId="77777777" w:rsidR="00B76634" w:rsidRPr="00004507" w:rsidRDefault="00B76634"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PON1: Paraoxonase 1</w:t>
      </w:r>
    </w:p>
    <w:p w14:paraId="2729ECA1" w14:textId="3FAE18E4" w:rsidR="00D63095" w:rsidRPr="00004507" w:rsidRDefault="00D63095"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PSD: Pattern standard deviation</w:t>
      </w:r>
    </w:p>
    <w:p w14:paraId="6DB0F205" w14:textId="29924190" w:rsidR="00B76634" w:rsidRPr="00004507" w:rsidRDefault="00B76634"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RFLP: Restriction fragment length polymorphism</w:t>
      </w:r>
    </w:p>
    <w:p w14:paraId="5F53160E" w14:textId="529897EA" w:rsidR="00D63095" w:rsidRPr="00004507" w:rsidRDefault="00E54899" w:rsidP="00C15EA2">
      <w:pPr>
        <w:spacing w:line="276" w:lineRule="auto"/>
        <w:rPr>
          <w:rFonts w:ascii="Arial" w:hAnsi="Arial" w:cs="Arial"/>
          <w:color w:val="000000" w:themeColor="text1"/>
          <w:lang w:val="en-US"/>
        </w:rPr>
      </w:pPr>
      <w:r w:rsidRPr="00004507">
        <w:rPr>
          <w:rFonts w:ascii="Arial" w:hAnsi="Arial" w:cs="Arial"/>
          <w:color w:val="000000" w:themeColor="text1"/>
          <w:lang w:val="en-US"/>
        </w:rPr>
        <w:t>VFS: Visual field score</w:t>
      </w:r>
    </w:p>
    <w:p w14:paraId="5639895B" w14:textId="78575DC5" w:rsidR="004A3EEA" w:rsidRPr="00004507" w:rsidRDefault="004A3EEA" w:rsidP="00C15EA2">
      <w:pPr>
        <w:spacing w:line="276" w:lineRule="auto"/>
        <w:rPr>
          <w:rFonts w:ascii="Arial" w:hAnsi="Arial" w:cs="Arial"/>
          <w:b/>
          <w:color w:val="000000" w:themeColor="text1"/>
          <w:lang w:val="en-US"/>
        </w:rPr>
      </w:pPr>
    </w:p>
    <w:p w14:paraId="4AB5361E" w14:textId="24E9F7F0" w:rsidR="004A3EEA" w:rsidRPr="00004507" w:rsidRDefault="004A3EEA" w:rsidP="00C15EA2">
      <w:pPr>
        <w:spacing w:line="276" w:lineRule="auto"/>
        <w:rPr>
          <w:rFonts w:ascii="Arial" w:hAnsi="Arial" w:cs="Arial"/>
          <w:b/>
          <w:color w:val="000000" w:themeColor="text1"/>
          <w:lang w:val="en-US"/>
        </w:rPr>
      </w:pPr>
    </w:p>
    <w:p w14:paraId="3ED98043" w14:textId="391A6E85" w:rsidR="004A3EEA" w:rsidRPr="00004507" w:rsidRDefault="004A3EEA" w:rsidP="00C15EA2">
      <w:pPr>
        <w:spacing w:line="276" w:lineRule="auto"/>
        <w:rPr>
          <w:rFonts w:ascii="Arial" w:hAnsi="Arial" w:cs="Arial"/>
          <w:b/>
          <w:color w:val="000000" w:themeColor="text1"/>
          <w:lang w:val="en-US"/>
        </w:rPr>
      </w:pPr>
    </w:p>
    <w:p w14:paraId="460EB889" w14:textId="3DCA3FE7" w:rsidR="004A3EEA" w:rsidRPr="00004507" w:rsidRDefault="004A3EEA" w:rsidP="00C15EA2">
      <w:pPr>
        <w:spacing w:line="276" w:lineRule="auto"/>
        <w:rPr>
          <w:rFonts w:ascii="Arial" w:hAnsi="Arial" w:cs="Arial"/>
          <w:b/>
          <w:color w:val="000000" w:themeColor="text1"/>
          <w:lang w:val="en-US"/>
        </w:rPr>
      </w:pPr>
    </w:p>
    <w:p w14:paraId="13025C7C" w14:textId="5CA2B32C" w:rsidR="004A3EEA" w:rsidRPr="00004507" w:rsidRDefault="004A3EEA" w:rsidP="00C15EA2">
      <w:pPr>
        <w:spacing w:line="276" w:lineRule="auto"/>
        <w:rPr>
          <w:rFonts w:ascii="Arial" w:hAnsi="Arial" w:cs="Arial"/>
          <w:b/>
          <w:color w:val="000000" w:themeColor="text1"/>
          <w:lang w:val="en-US"/>
        </w:rPr>
      </w:pPr>
    </w:p>
    <w:p w14:paraId="68C08CAD" w14:textId="3DE1C60E" w:rsidR="004A3EEA" w:rsidRPr="00004507" w:rsidRDefault="004A3EEA" w:rsidP="00C15EA2">
      <w:pPr>
        <w:spacing w:line="276" w:lineRule="auto"/>
        <w:rPr>
          <w:rFonts w:ascii="Arial" w:hAnsi="Arial" w:cs="Arial"/>
          <w:b/>
          <w:color w:val="000000" w:themeColor="text1"/>
          <w:lang w:val="en-US"/>
        </w:rPr>
      </w:pPr>
    </w:p>
    <w:p w14:paraId="1977CE92" w14:textId="243C7575" w:rsidR="004A3EEA" w:rsidRPr="00004507" w:rsidRDefault="004A3EEA" w:rsidP="00C15EA2">
      <w:pPr>
        <w:spacing w:line="276" w:lineRule="auto"/>
        <w:rPr>
          <w:rFonts w:ascii="Arial" w:hAnsi="Arial" w:cs="Arial"/>
          <w:b/>
          <w:color w:val="000000" w:themeColor="text1"/>
          <w:lang w:val="en-US"/>
        </w:rPr>
      </w:pPr>
    </w:p>
    <w:p w14:paraId="3E72C8BE" w14:textId="548C068D" w:rsidR="004A3EEA" w:rsidRPr="00004507" w:rsidRDefault="004A3EEA" w:rsidP="00C15EA2">
      <w:pPr>
        <w:spacing w:line="276" w:lineRule="auto"/>
        <w:rPr>
          <w:rFonts w:ascii="Arial" w:hAnsi="Arial" w:cs="Arial"/>
          <w:b/>
          <w:color w:val="000000" w:themeColor="text1"/>
          <w:lang w:val="en-US"/>
        </w:rPr>
      </w:pPr>
    </w:p>
    <w:p w14:paraId="1AE42DC9" w14:textId="3EBD3456" w:rsidR="004A3EEA" w:rsidRPr="00004507" w:rsidRDefault="004A3EEA" w:rsidP="00C15EA2">
      <w:pPr>
        <w:spacing w:line="276" w:lineRule="auto"/>
        <w:rPr>
          <w:rFonts w:ascii="Arial" w:hAnsi="Arial" w:cs="Arial"/>
          <w:b/>
          <w:color w:val="000000" w:themeColor="text1"/>
          <w:lang w:val="en-US"/>
        </w:rPr>
      </w:pPr>
    </w:p>
    <w:p w14:paraId="7B8DA98B" w14:textId="1B848411" w:rsidR="004A3EEA" w:rsidRPr="00004507" w:rsidRDefault="004A3EEA" w:rsidP="00C15EA2">
      <w:pPr>
        <w:spacing w:line="276" w:lineRule="auto"/>
        <w:rPr>
          <w:rFonts w:ascii="Arial" w:hAnsi="Arial" w:cs="Arial"/>
          <w:b/>
          <w:color w:val="000000" w:themeColor="text1"/>
          <w:lang w:val="en-US"/>
        </w:rPr>
      </w:pPr>
    </w:p>
    <w:p w14:paraId="45CB4017" w14:textId="216689E0" w:rsidR="00D155EC" w:rsidRPr="00004507" w:rsidRDefault="00D155EC" w:rsidP="00C15EA2">
      <w:pPr>
        <w:spacing w:line="276" w:lineRule="auto"/>
        <w:rPr>
          <w:rFonts w:ascii="Arial" w:hAnsi="Arial" w:cs="Arial"/>
          <w:b/>
          <w:color w:val="000000" w:themeColor="text1"/>
          <w:lang w:val="en-US"/>
        </w:rPr>
      </w:pPr>
    </w:p>
    <w:p w14:paraId="75C40FD8" w14:textId="7DA0B785" w:rsidR="00D155EC" w:rsidRPr="00004507" w:rsidRDefault="00D155EC" w:rsidP="00C15EA2">
      <w:pPr>
        <w:spacing w:line="276" w:lineRule="auto"/>
        <w:rPr>
          <w:rFonts w:ascii="Arial" w:hAnsi="Arial" w:cs="Arial"/>
          <w:b/>
          <w:color w:val="000000" w:themeColor="text1"/>
          <w:lang w:val="en-US"/>
        </w:rPr>
      </w:pPr>
    </w:p>
    <w:p w14:paraId="19AD5272" w14:textId="29408CE6" w:rsidR="00D155EC" w:rsidRPr="00004507" w:rsidRDefault="00D155EC" w:rsidP="00C15EA2">
      <w:pPr>
        <w:spacing w:line="276" w:lineRule="auto"/>
        <w:rPr>
          <w:rFonts w:ascii="Arial" w:hAnsi="Arial" w:cs="Arial"/>
          <w:b/>
          <w:color w:val="000000" w:themeColor="text1"/>
          <w:lang w:val="en-US"/>
        </w:rPr>
      </w:pPr>
    </w:p>
    <w:p w14:paraId="2C6A10D9" w14:textId="7C151EA2" w:rsidR="00D155EC" w:rsidRPr="00004507" w:rsidRDefault="00D155EC" w:rsidP="00C15EA2">
      <w:pPr>
        <w:spacing w:line="276" w:lineRule="auto"/>
        <w:rPr>
          <w:rFonts w:ascii="Arial" w:hAnsi="Arial" w:cs="Arial"/>
          <w:b/>
          <w:color w:val="000000" w:themeColor="text1"/>
          <w:lang w:val="en-US"/>
        </w:rPr>
      </w:pPr>
    </w:p>
    <w:p w14:paraId="514529D5" w14:textId="6562A951" w:rsidR="00D155EC" w:rsidRPr="00004507" w:rsidRDefault="00D155EC" w:rsidP="00C15EA2">
      <w:pPr>
        <w:spacing w:line="276" w:lineRule="auto"/>
        <w:rPr>
          <w:rFonts w:ascii="Arial" w:hAnsi="Arial" w:cs="Arial"/>
          <w:b/>
          <w:color w:val="000000" w:themeColor="text1"/>
          <w:lang w:val="en-US"/>
        </w:rPr>
      </w:pPr>
    </w:p>
    <w:p w14:paraId="15067992" w14:textId="34729428" w:rsidR="00D155EC" w:rsidRPr="00004507" w:rsidRDefault="00D155EC" w:rsidP="00C15EA2">
      <w:pPr>
        <w:spacing w:line="276" w:lineRule="auto"/>
        <w:rPr>
          <w:rFonts w:ascii="Arial" w:hAnsi="Arial" w:cs="Arial"/>
          <w:b/>
          <w:color w:val="000000" w:themeColor="text1"/>
          <w:lang w:val="en-US"/>
        </w:rPr>
      </w:pPr>
    </w:p>
    <w:p w14:paraId="2AAA8C43" w14:textId="6BD3B5FC" w:rsidR="00D155EC" w:rsidRPr="00004507" w:rsidRDefault="00D155EC" w:rsidP="00C15EA2">
      <w:pPr>
        <w:spacing w:line="276" w:lineRule="auto"/>
        <w:rPr>
          <w:rFonts w:ascii="Arial" w:hAnsi="Arial" w:cs="Arial"/>
          <w:b/>
          <w:color w:val="000000" w:themeColor="text1"/>
          <w:lang w:val="en-US"/>
        </w:rPr>
      </w:pPr>
    </w:p>
    <w:p w14:paraId="33F987F9" w14:textId="130B4C6C" w:rsidR="00D155EC" w:rsidRDefault="00D155EC" w:rsidP="00C15EA2">
      <w:pPr>
        <w:spacing w:line="276" w:lineRule="auto"/>
        <w:rPr>
          <w:rFonts w:ascii="Arial" w:hAnsi="Arial" w:cs="Arial"/>
          <w:b/>
          <w:color w:val="000000" w:themeColor="text1"/>
          <w:lang w:val="en-US"/>
        </w:rPr>
      </w:pPr>
    </w:p>
    <w:p w14:paraId="337F7592" w14:textId="77777777" w:rsidR="001320A7" w:rsidRDefault="001320A7" w:rsidP="00C15EA2">
      <w:pPr>
        <w:spacing w:line="276" w:lineRule="auto"/>
        <w:rPr>
          <w:rFonts w:ascii="Arial" w:hAnsi="Arial" w:cs="Arial"/>
          <w:b/>
          <w:color w:val="000000" w:themeColor="text1"/>
          <w:lang w:val="en-US"/>
        </w:rPr>
      </w:pPr>
    </w:p>
    <w:p w14:paraId="0E08AF13" w14:textId="77777777" w:rsidR="00E55974" w:rsidRPr="00004507" w:rsidRDefault="00E55974" w:rsidP="00C15EA2">
      <w:pPr>
        <w:spacing w:line="276" w:lineRule="auto"/>
        <w:rPr>
          <w:rFonts w:ascii="Arial" w:hAnsi="Arial" w:cs="Arial"/>
          <w:b/>
          <w:color w:val="000000" w:themeColor="text1"/>
          <w:lang w:val="en-US"/>
        </w:rPr>
      </w:pPr>
    </w:p>
    <w:p w14:paraId="3AFB8624" w14:textId="6D9B10AD" w:rsidR="00AF3A92" w:rsidRPr="00311F16" w:rsidRDefault="00AF3A92" w:rsidP="00311F16">
      <w:pPr>
        <w:spacing w:line="276" w:lineRule="auto"/>
        <w:rPr>
          <w:rFonts w:ascii="Arial" w:hAnsi="Arial" w:cs="Arial"/>
          <w:b/>
          <w:color w:val="000000" w:themeColor="text1"/>
          <w:lang w:val="en-US"/>
        </w:rPr>
      </w:pPr>
      <w:r w:rsidRPr="00311F16">
        <w:rPr>
          <w:rFonts w:ascii="Arial" w:hAnsi="Arial" w:cs="Arial"/>
          <w:b/>
          <w:color w:val="000000" w:themeColor="text1"/>
          <w:lang w:val="en-US"/>
        </w:rPr>
        <w:lastRenderedPageBreak/>
        <w:t xml:space="preserve">Introduction </w:t>
      </w:r>
    </w:p>
    <w:p w14:paraId="7ED15A76" w14:textId="079C73F5" w:rsidR="008F28F0" w:rsidRPr="00004507" w:rsidRDefault="003D59E4" w:rsidP="00C15EA2">
      <w:pPr>
        <w:autoSpaceDE w:val="0"/>
        <w:autoSpaceDN w:val="0"/>
        <w:adjustRightInd w:val="0"/>
        <w:spacing w:line="276" w:lineRule="auto"/>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Pseudoexfoliation s</w:t>
      </w:r>
      <w:r w:rsidR="00C2720E" w:rsidRPr="00004507">
        <w:rPr>
          <w:rFonts w:ascii="Arial" w:hAnsi="Arial" w:cs="Arial"/>
          <w:color w:val="000000" w:themeColor="text1"/>
          <w:lang w:val="en-US"/>
        </w:rPr>
        <w:t>yndrome (PEX) is a</w:t>
      </w:r>
      <w:r w:rsidR="007918E3" w:rsidRPr="00004507">
        <w:rPr>
          <w:rFonts w:ascii="Arial" w:hAnsi="Arial" w:cs="Arial"/>
          <w:color w:val="000000" w:themeColor="text1"/>
          <w:lang w:val="en-US"/>
        </w:rPr>
        <w:t>n aging</w:t>
      </w:r>
      <w:r w:rsidR="00BE680B" w:rsidRPr="00004507">
        <w:rPr>
          <w:rFonts w:ascii="Arial" w:hAnsi="Arial" w:cs="Arial"/>
          <w:color w:val="000000" w:themeColor="text1"/>
          <w:lang w:val="en-US"/>
        </w:rPr>
        <w:t>-</w:t>
      </w:r>
      <w:r w:rsidR="007918E3" w:rsidRPr="00004507">
        <w:rPr>
          <w:rFonts w:ascii="Arial" w:hAnsi="Arial" w:cs="Arial"/>
          <w:color w:val="000000" w:themeColor="text1"/>
          <w:lang w:val="en-US"/>
        </w:rPr>
        <w:t>related systemic disorder</w:t>
      </w:r>
      <w:r w:rsidR="00C2720E" w:rsidRPr="00004507">
        <w:rPr>
          <w:rFonts w:ascii="Arial" w:hAnsi="Arial" w:cs="Arial"/>
          <w:color w:val="000000" w:themeColor="text1"/>
          <w:lang w:val="en-US"/>
        </w:rPr>
        <w:t xml:space="preserve"> characterized by the accumulation of microscopic granular </w:t>
      </w:r>
      <w:r w:rsidR="00AE069D" w:rsidRPr="00004507">
        <w:rPr>
          <w:rFonts w:ascii="Arial" w:hAnsi="Arial" w:cs="Arial"/>
          <w:color w:val="000000" w:themeColor="text1"/>
          <w:lang w:val="en-US"/>
        </w:rPr>
        <w:t xml:space="preserve">extracellular material composed of </w:t>
      </w:r>
      <w:r w:rsidR="00C2720E" w:rsidRPr="00004507">
        <w:rPr>
          <w:rFonts w:ascii="Arial" w:hAnsi="Arial" w:cs="Arial"/>
          <w:color w:val="000000" w:themeColor="text1"/>
          <w:lang w:val="en-US"/>
        </w:rPr>
        <w:t>amyloid-like protein</w:t>
      </w:r>
      <w:r w:rsidR="002F0AA7" w:rsidRPr="00004507">
        <w:rPr>
          <w:rFonts w:ascii="Arial" w:hAnsi="Arial" w:cs="Arial"/>
          <w:color w:val="000000" w:themeColor="text1"/>
          <w:lang w:val="en-US"/>
        </w:rPr>
        <w:t xml:space="preserve">s </w:t>
      </w:r>
      <w:r w:rsidR="002F0AA7" w:rsidRPr="00004507">
        <w:rPr>
          <w:rFonts w:ascii="Arial" w:hAnsi="Arial" w:cs="Arial"/>
          <w:color w:val="000000" w:themeColor="text1"/>
          <w:shd w:val="clear" w:color="auto" w:fill="FFFFFF"/>
          <w:lang w:val="en-US"/>
        </w:rPr>
        <w:t xml:space="preserve">surrounded by </w:t>
      </w:r>
      <w:proofErr w:type="spellStart"/>
      <w:r w:rsidR="002F0AA7" w:rsidRPr="00004507">
        <w:rPr>
          <w:rFonts w:ascii="Arial" w:hAnsi="Arial" w:cs="Arial"/>
          <w:color w:val="000000" w:themeColor="text1"/>
          <w:shd w:val="clear" w:color="auto" w:fill="FFFFFF"/>
          <w:lang w:val="en-US"/>
        </w:rPr>
        <w:t>glycosaminoglycans</w:t>
      </w:r>
      <w:proofErr w:type="spellEnd"/>
      <w:r w:rsidR="00AE069D" w:rsidRPr="00004507">
        <w:rPr>
          <w:rFonts w:ascii="Arial" w:hAnsi="Arial" w:cs="Arial"/>
          <w:color w:val="000000" w:themeColor="text1"/>
          <w:shd w:val="clear" w:color="auto" w:fill="FFFFFF"/>
          <w:lang w:val="en-US"/>
        </w:rPr>
        <w:t>,</w:t>
      </w:r>
      <w:r w:rsidR="002F0AA7" w:rsidRPr="00004507">
        <w:rPr>
          <w:rFonts w:ascii="Arial" w:hAnsi="Arial" w:cs="Arial"/>
          <w:color w:val="000000" w:themeColor="text1"/>
          <w:shd w:val="clear" w:color="auto" w:fill="FFFFFF"/>
          <w:lang w:val="en-US"/>
        </w:rPr>
        <w:t xml:space="preserve"> </w:t>
      </w:r>
      <w:r w:rsidR="0080606B" w:rsidRPr="00004507">
        <w:rPr>
          <w:rFonts w:ascii="Arial" w:hAnsi="Arial" w:cs="Arial"/>
          <w:color w:val="000000" w:themeColor="text1"/>
          <w:lang w:val="en-US"/>
        </w:rPr>
        <w:t xml:space="preserve">in the </w:t>
      </w:r>
      <w:r w:rsidR="007918E3" w:rsidRPr="00004507">
        <w:rPr>
          <w:rFonts w:ascii="Arial" w:hAnsi="Arial" w:cs="Arial"/>
          <w:color w:val="000000" w:themeColor="text1"/>
          <w:lang w:val="en-US"/>
        </w:rPr>
        <w:t>anterior segment of the eye</w:t>
      </w:r>
      <w:r w:rsidR="00930781" w:rsidRPr="00004507">
        <w:rPr>
          <w:rFonts w:ascii="Arial" w:hAnsi="Arial" w:cs="Arial"/>
          <w:color w:val="000000" w:themeColor="text1"/>
          <w:lang w:val="en-US"/>
        </w:rPr>
        <w:t xml:space="preserve"> </w:t>
      </w:r>
      <w:r w:rsidR="00D866F6" w:rsidRPr="00004507">
        <w:rPr>
          <w:rFonts w:ascii="Arial" w:hAnsi="Arial" w:cs="Arial"/>
          <w:color w:val="000000" w:themeColor="text1"/>
          <w:lang w:val="en-US"/>
        </w:rPr>
        <w:t>[1]</w:t>
      </w:r>
      <w:r w:rsidR="0080606B" w:rsidRPr="00004507">
        <w:rPr>
          <w:rFonts w:ascii="Arial" w:hAnsi="Arial" w:cs="Arial"/>
          <w:color w:val="000000" w:themeColor="text1"/>
          <w:lang w:val="en-US"/>
        </w:rPr>
        <w:t>.</w:t>
      </w:r>
      <w:r w:rsidR="00C2720E" w:rsidRPr="00004507">
        <w:rPr>
          <w:rFonts w:ascii="Arial" w:hAnsi="Arial" w:cs="Arial"/>
          <w:color w:val="000000" w:themeColor="text1"/>
          <w:lang w:val="en-US"/>
        </w:rPr>
        <w:t xml:space="preserve"> </w:t>
      </w:r>
      <w:r w:rsidR="00BE680B" w:rsidRPr="00004507">
        <w:rPr>
          <w:rFonts w:ascii="Arial" w:hAnsi="Arial" w:cs="Arial"/>
          <w:color w:val="000000" w:themeColor="text1"/>
          <w:lang w:val="en-US"/>
        </w:rPr>
        <w:t>Pseudoexfoliation material can</w:t>
      </w:r>
      <w:r w:rsidR="00425945" w:rsidRPr="00004507">
        <w:rPr>
          <w:rFonts w:ascii="Arial" w:hAnsi="Arial" w:cs="Arial"/>
          <w:color w:val="000000" w:themeColor="text1"/>
          <w:lang w:val="en-US"/>
        </w:rPr>
        <w:t xml:space="preserve"> be </w:t>
      </w:r>
      <w:r w:rsidR="00BE680B" w:rsidRPr="00004507">
        <w:rPr>
          <w:rFonts w:ascii="Arial" w:hAnsi="Arial" w:cs="Arial"/>
          <w:color w:val="000000" w:themeColor="text1"/>
          <w:lang w:val="en-US"/>
        </w:rPr>
        <w:t xml:space="preserve">observed </w:t>
      </w:r>
      <w:r w:rsidR="00425945" w:rsidRPr="00004507">
        <w:rPr>
          <w:rFonts w:ascii="Arial" w:hAnsi="Arial" w:cs="Arial"/>
          <w:color w:val="000000" w:themeColor="text1"/>
          <w:lang w:val="en-US"/>
        </w:rPr>
        <w:t xml:space="preserve">in the iris, the </w:t>
      </w:r>
      <w:proofErr w:type="spellStart"/>
      <w:r w:rsidR="00425945" w:rsidRPr="00004507">
        <w:rPr>
          <w:rFonts w:ascii="Arial" w:hAnsi="Arial" w:cs="Arial"/>
          <w:color w:val="000000" w:themeColor="text1"/>
          <w:lang w:val="en-US"/>
        </w:rPr>
        <w:t>ciliary</w:t>
      </w:r>
      <w:proofErr w:type="spellEnd"/>
      <w:r w:rsidR="00425945" w:rsidRPr="00004507">
        <w:rPr>
          <w:rFonts w:ascii="Arial" w:hAnsi="Arial" w:cs="Arial"/>
          <w:color w:val="000000" w:themeColor="text1"/>
          <w:lang w:val="en-US"/>
        </w:rPr>
        <w:t xml:space="preserve"> body, and the anterior lens capsule. </w:t>
      </w:r>
      <w:r w:rsidR="00BE680B" w:rsidRPr="00004507">
        <w:rPr>
          <w:rFonts w:ascii="Arial" w:hAnsi="Arial" w:cs="Arial"/>
          <w:color w:val="000000" w:themeColor="text1"/>
          <w:lang w:val="en-US"/>
        </w:rPr>
        <w:t>The circulation of</w:t>
      </w:r>
      <w:r w:rsidR="00930781" w:rsidRPr="00004507">
        <w:rPr>
          <w:rFonts w:ascii="Arial" w:hAnsi="Arial" w:cs="Arial"/>
          <w:color w:val="000000" w:themeColor="text1"/>
          <w:lang w:val="en-US"/>
        </w:rPr>
        <w:t xml:space="preserve"> aqueous humor is blocked w</w:t>
      </w:r>
      <w:r w:rsidR="0080606B" w:rsidRPr="00004507">
        <w:rPr>
          <w:rFonts w:ascii="Arial" w:hAnsi="Arial" w:cs="Arial"/>
          <w:color w:val="000000" w:themeColor="text1"/>
          <w:lang w:val="en-US"/>
        </w:rPr>
        <w:t>hen t</w:t>
      </w:r>
      <w:r w:rsidR="00BE680B" w:rsidRPr="00004507">
        <w:rPr>
          <w:rFonts w:ascii="Arial" w:hAnsi="Arial" w:cs="Arial"/>
          <w:color w:val="000000" w:themeColor="text1"/>
          <w:lang w:val="en-US"/>
        </w:rPr>
        <w:t>his material</w:t>
      </w:r>
      <w:r w:rsidR="00C2720E" w:rsidRPr="00004507">
        <w:rPr>
          <w:rFonts w:ascii="Arial" w:hAnsi="Arial" w:cs="Arial"/>
          <w:color w:val="000000" w:themeColor="text1"/>
          <w:lang w:val="en-US"/>
        </w:rPr>
        <w:t xml:space="preserve"> occlude</w:t>
      </w:r>
      <w:r w:rsidR="00BE680B" w:rsidRPr="00004507">
        <w:rPr>
          <w:rFonts w:ascii="Arial" w:hAnsi="Arial" w:cs="Arial"/>
          <w:color w:val="000000" w:themeColor="text1"/>
          <w:lang w:val="en-US"/>
        </w:rPr>
        <w:t>s</w:t>
      </w:r>
      <w:r w:rsidR="00C2720E" w:rsidRPr="00004507">
        <w:rPr>
          <w:rFonts w:ascii="Arial" w:hAnsi="Arial" w:cs="Arial"/>
          <w:color w:val="000000" w:themeColor="text1"/>
          <w:lang w:val="en-US"/>
        </w:rPr>
        <w:t xml:space="preserve"> the trabe</w:t>
      </w:r>
      <w:r w:rsidR="00BE680B" w:rsidRPr="00004507">
        <w:rPr>
          <w:rFonts w:ascii="Arial" w:hAnsi="Arial" w:cs="Arial"/>
          <w:color w:val="000000" w:themeColor="text1"/>
          <w:lang w:val="en-US"/>
        </w:rPr>
        <w:t>cular meshwork, increasing the intra ocular p</w:t>
      </w:r>
      <w:r w:rsidR="0080606B" w:rsidRPr="00004507">
        <w:rPr>
          <w:rFonts w:ascii="Arial" w:hAnsi="Arial" w:cs="Arial"/>
          <w:color w:val="000000" w:themeColor="text1"/>
          <w:lang w:val="en-US"/>
        </w:rPr>
        <w:t>ressure (IOP)</w:t>
      </w:r>
      <w:r w:rsidR="00930781" w:rsidRPr="00004507">
        <w:rPr>
          <w:rFonts w:ascii="Arial" w:hAnsi="Arial" w:cs="Arial"/>
          <w:color w:val="000000" w:themeColor="text1"/>
          <w:lang w:val="en-US"/>
        </w:rPr>
        <w:t>,</w:t>
      </w:r>
      <w:r w:rsidR="007178DA" w:rsidRPr="00004507">
        <w:rPr>
          <w:rFonts w:ascii="Arial" w:hAnsi="Arial" w:cs="Arial"/>
          <w:color w:val="000000" w:themeColor="text1"/>
          <w:lang w:val="en-US"/>
        </w:rPr>
        <w:t xml:space="preserve"> which in turn</w:t>
      </w:r>
      <w:r w:rsidR="00930781" w:rsidRPr="00004507">
        <w:rPr>
          <w:rFonts w:ascii="Arial" w:hAnsi="Arial" w:cs="Arial"/>
          <w:color w:val="000000" w:themeColor="text1"/>
          <w:lang w:val="en-US"/>
        </w:rPr>
        <w:t xml:space="preserve"> cause</w:t>
      </w:r>
      <w:r w:rsidR="007178DA" w:rsidRPr="00004507">
        <w:rPr>
          <w:rFonts w:ascii="Arial" w:hAnsi="Arial" w:cs="Arial"/>
          <w:color w:val="000000" w:themeColor="text1"/>
          <w:lang w:val="en-US"/>
        </w:rPr>
        <w:t>s</w:t>
      </w:r>
      <w:r w:rsidR="007918E3" w:rsidRPr="00004507">
        <w:rPr>
          <w:rFonts w:ascii="Arial" w:hAnsi="Arial" w:cs="Arial"/>
          <w:color w:val="000000" w:themeColor="text1"/>
          <w:lang w:val="en-US"/>
        </w:rPr>
        <w:t xml:space="preserve"> optic nerve damage</w:t>
      </w:r>
      <w:r w:rsidR="002363C8" w:rsidRPr="00004507">
        <w:rPr>
          <w:rFonts w:ascii="Arial" w:hAnsi="Arial" w:cs="Arial"/>
          <w:color w:val="000000" w:themeColor="text1"/>
          <w:lang w:val="en-US"/>
        </w:rPr>
        <w:t xml:space="preserve">. </w:t>
      </w:r>
      <w:r w:rsidR="00EC23A7" w:rsidRPr="00004507">
        <w:rPr>
          <w:rFonts w:ascii="Arial" w:hAnsi="Arial" w:cs="Arial"/>
          <w:color w:val="000000" w:themeColor="text1"/>
          <w:lang w:val="en-US"/>
        </w:rPr>
        <w:t xml:space="preserve">This condition is </w:t>
      </w:r>
      <w:r w:rsidR="007178DA" w:rsidRPr="00004507">
        <w:rPr>
          <w:rFonts w:ascii="Arial" w:hAnsi="Arial" w:cs="Arial"/>
          <w:color w:val="000000" w:themeColor="text1"/>
          <w:lang w:val="en-US"/>
        </w:rPr>
        <w:t xml:space="preserve">referred to as </w:t>
      </w:r>
      <w:r w:rsidR="00EC23A7" w:rsidRPr="00004507">
        <w:rPr>
          <w:rFonts w:ascii="Arial" w:hAnsi="Arial" w:cs="Arial"/>
          <w:color w:val="000000" w:themeColor="text1"/>
          <w:lang w:val="en-US"/>
        </w:rPr>
        <w:t>g</w:t>
      </w:r>
      <w:r w:rsidR="002363C8" w:rsidRPr="00004507">
        <w:rPr>
          <w:rStyle w:val="Vurgu"/>
          <w:rFonts w:ascii="Arial" w:hAnsi="Arial" w:cs="Arial"/>
          <w:bCs/>
          <w:i w:val="0"/>
          <w:iCs w:val="0"/>
          <w:color w:val="000000" w:themeColor="text1"/>
          <w:shd w:val="clear" w:color="auto" w:fill="FFFFFF"/>
          <w:lang w:val="en-US"/>
        </w:rPr>
        <w:t>laucoma</w:t>
      </w:r>
      <w:r w:rsidR="00EC23A7" w:rsidRPr="00004507">
        <w:rPr>
          <w:rStyle w:val="Vurgu"/>
          <w:rFonts w:ascii="Arial" w:hAnsi="Arial" w:cs="Arial"/>
          <w:b/>
          <w:bCs/>
          <w:i w:val="0"/>
          <w:iCs w:val="0"/>
          <w:color w:val="000000" w:themeColor="text1"/>
          <w:shd w:val="clear" w:color="auto" w:fill="FFFFFF"/>
          <w:lang w:val="en-US"/>
        </w:rPr>
        <w:t>,</w:t>
      </w:r>
      <w:r w:rsidR="007178DA" w:rsidRPr="00004507">
        <w:rPr>
          <w:rFonts w:ascii="Arial" w:hAnsi="Arial" w:cs="Arial"/>
          <w:color w:val="000000" w:themeColor="text1"/>
          <w:shd w:val="clear" w:color="auto" w:fill="FFFFFF"/>
          <w:lang w:val="en-US"/>
        </w:rPr>
        <w:t xml:space="preserve"> a group of eye diseases result</w:t>
      </w:r>
      <w:r w:rsidR="002363C8" w:rsidRPr="00004507">
        <w:rPr>
          <w:rFonts w:ascii="Arial" w:hAnsi="Arial" w:cs="Arial"/>
          <w:color w:val="000000" w:themeColor="text1"/>
          <w:shd w:val="clear" w:color="auto" w:fill="FFFFFF"/>
          <w:lang w:val="en-US"/>
        </w:rPr>
        <w:t>in</w:t>
      </w:r>
      <w:r w:rsidR="007178DA" w:rsidRPr="00004507">
        <w:rPr>
          <w:rFonts w:ascii="Arial" w:hAnsi="Arial" w:cs="Arial"/>
          <w:color w:val="000000" w:themeColor="text1"/>
          <w:shd w:val="clear" w:color="auto" w:fill="FFFFFF"/>
          <w:lang w:val="en-US"/>
        </w:rPr>
        <w:t>g in</w:t>
      </w:r>
      <w:r w:rsidR="002363C8" w:rsidRPr="00004507">
        <w:rPr>
          <w:rFonts w:ascii="Arial" w:hAnsi="Arial" w:cs="Arial"/>
          <w:color w:val="000000" w:themeColor="text1"/>
          <w:shd w:val="clear" w:color="auto" w:fill="FFFFFF"/>
          <w:lang w:val="en-US"/>
        </w:rPr>
        <w:t xml:space="preserve"> damage to the optic nerve and vision loss.</w:t>
      </w:r>
      <w:r w:rsidR="00EC23A7" w:rsidRPr="00004507">
        <w:rPr>
          <w:rFonts w:ascii="Arial" w:hAnsi="Arial" w:cs="Arial"/>
          <w:color w:val="000000" w:themeColor="text1"/>
          <w:shd w:val="clear" w:color="auto" w:fill="FFFFFF"/>
          <w:lang w:val="en-US"/>
        </w:rPr>
        <w:t xml:space="preserve"> </w:t>
      </w:r>
      <w:r w:rsidR="004010C9" w:rsidRPr="00004507">
        <w:rPr>
          <w:rFonts w:ascii="Arial" w:hAnsi="Arial" w:cs="Arial"/>
          <w:color w:val="000000" w:themeColor="text1"/>
          <w:shd w:val="clear" w:color="auto" w:fill="FFFFFF"/>
          <w:lang w:val="en-US"/>
        </w:rPr>
        <w:t xml:space="preserve">It is estimated that approximately 40–50% of patients </w:t>
      </w:r>
      <w:r w:rsidR="007178DA" w:rsidRPr="00004507">
        <w:rPr>
          <w:rFonts w:ascii="Arial" w:hAnsi="Arial" w:cs="Arial"/>
          <w:color w:val="000000" w:themeColor="text1"/>
          <w:shd w:val="clear" w:color="auto" w:fill="FFFFFF"/>
          <w:lang w:val="en-US"/>
        </w:rPr>
        <w:t>with PEX</w:t>
      </w:r>
      <w:r w:rsidR="004010C9" w:rsidRPr="00004507">
        <w:rPr>
          <w:rFonts w:ascii="Arial" w:hAnsi="Arial" w:cs="Arial"/>
          <w:color w:val="000000" w:themeColor="text1"/>
          <w:shd w:val="clear" w:color="auto" w:fill="FFFFFF"/>
          <w:lang w:val="en-US"/>
        </w:rPr>
        <w:t xml:space="preserve"> eventually develop </w:t>
      </w:r>
      <w:r w:rsidR="004010C9" w:rsidRPr="00004507">
        <w:rPr>
          <w:rStyle w:val="Vurgu"/>
          <w:rFonts w:ascii="Arial" w:hAnsi="Arial" w:cs="Arial"/>
          <w:bCs/>
          <w:i w:val="0"/>
          <w:iCs w:val="0"/>
          <w:color w:val="000000" w:themeColor="text1"/>
          <w:shd w:val="clear" w:color="auto" w:fill="FFFFFF"/>
          <w:lang w:val="en-US"/>
        </w:rPr>
        <w:t>pseudoexfoliative glaucoma (PEG)</w:t>
      </w:r>
      <w:r w:rsidR="001D0640" w:rsidRPr="00004507">
        <w:rPr>
          <w:rFonts w:ascii="Arial" w:hAnsi="Arial" w:cs="Arial"/>
          <w:color w:val="000000" w:themeColor="text1"/>
          <w:shd w:val="clear" w:color="auto" w:fill="FFFFFF"/>
          <w:lang w:val="en-US"/>
        </w:rPr>
        <w:t xml:space="preserve"> </w:t>
      </w:r>
      <w:r w:rsidR="00D866F6" w:rsidRPr="00004507">
        <w:rPr>
          <w:rFonts w:ascii="Arial" w:hAnsi="Arial" w:cs="Arial"/>
          <w:color w:val="000000" w:themeColor="text1"/>
          <w:lang w:val="en-US"/>
        </w:rPr>
        <w:t>[2-4]</w:t>
      </w:r>
      <w:r w:rsidR="001D0640" w:rsidRPr="00004507">
        <w:rPr>
          <w:rFonts w:ascii="Arial" w:hAnsi="Arial" w:cs="Arial"/>
          <w:color w:val="000000" w:themeColor="text1"/>
          <w:shd w:val="clear" w:color="auto" w:fill="FFFFFF"/>
          <w:lang w:val="en-US"/>
        </w:rPr>
        <w:t>.</w:t>
      </w:r>
      <w:r w:rsidR="008F5559" w:rsidRPr="00004507">
        <w:rPr>
          <w:rFonts w:ascii="Arial" w:hAnsi="Arial" w:cs="Arial"/>
          <w:color w:val="000000" w:themeColor="text1"/>
          <w:shd w:val="clear" w:color="auto" w:fill="FFFFFF"/>
          <w:lang w:val="en-US"/>
        </w:rPr>
        <w:t xml:space="preserve"> </w:t>
      </w:r>
      <w:r w:rsidR="008C1DAA" w:rsidRPr="00004507">
        <w:rPr>
          <w:rFonts w:ascii="Arial" w:hAnsi="Arial" w:cs="Arial"/>
          <w:color w:val="000000" w:themeColor="text1"/>
          <w:shd w:val="clear" w:color="auto" w:fill="FFFFFF"/>
          <w:lang w:val="en-US"/>
        </w:rPr>
        <w:t>The onset and progression of PEX is insidious; patients are</w:t>
      </w:r>
      <w:r w:rsidR="007178DA" w:rsidRPr="00004507">
        <w:rPr>
          <w:rFonts w:ascii="Arial" w:hAnsi="Arial" w:cs="Arial"/>
          <w:color w:val="000000" w:themeColor="text1"/>
          <w:shd w:val="clear" w:color="auto" w:fill="FFFFFF"/>
          <w:lang w:val="en-US"/>
        </w:rPr>
        <w:t xml:space="preserve"> often diagnosed incidentally via slit lamp examination or</w:t>
      </w:r>
      <w:r w:rsidR="008C1DAA" w:rsidRPr="00004507">
        <w:rPr>
          <w:rFonts w:ascii="Arial" w:hAnsi="Arial" w:cs="Arial"/>
          <w:color w:val="000000" w:themeColor="text1"/>
          <w:shd w:val="clear" w:color="auto" w:fill="FFFFFF"/>
          <w:lang w:val="en-US"/>
        </w:rPr>
        <w:t xml:space="preserve"> when they present with visual symptoms of </w:t>
      </w:r>
      <w:r w:rsidR="00E463C4" w:rsidRPr="00004507">
        <w:rPr>
          <w:rFonts w:ascii="Arial" w:hAnsi="Arial" w:cs="Arial"/>
          <w:color w:val="000000" w:themeColor="text1"/>
          <w:shd w:val="clear" w:color="auto" w:fill="FFFFFF"/>
          <w:lang w:val="en-US"/>
        </w:rPr>
        <w:t xml:space="preserve">glaucoma such as </w:t>
      </w:r>
      <w:r w:rsidR="008C1DAA" w:rsidRPr="00004507">
        <w:rPr>
          <w:rFonts w:ascii="Arial" w:hAnsi="Arial" w:cs="Arial"/>
          <w:color w:val="000000" w:themeColor="text1"/>
          <w:shd w:val="clear" w:color="auto" w:fill="FFFFFF"/>
          <w:lang w:val="en-US"/>
        </w:rPr>
        <w:t>peripheral visual field constriction.</w:t>
      </w:r>
      <w:r w:rsidR="00F7393A" w:rsidRPr="00004507">
        <w:rPr>
          <w:rFonts w:ascii="Arial" w:hAnsi="Arial" w:cs="Arial"/>
          <w:color w:val="000000" w:themeColor="text1"/>
          <w:shd w:val="clear" w:color="auto" w:fill="FFFFFF"/>
          <w:lang w:val="en-US"/>
        </w:rPr>
        <w:t xml:space="preserve"> </w:t>
      </w:r>
      <w:r w:rsidR="00F731FC" w:rsidRPr="00004507">
        <w:rPr>
          <w:rFonts w:ascii="Arial" w:hAnsi="Arial" w:cs="Arial"/>
          <w:color w:val="000000" w:themeColor="text1"/>
          <w:shd w:val="clear" w:color="auto" w:fill="FFFFFF"/>
          <w:lang w:val="en-US"/>
        </w:rPr>
        <w:t>Unfortunately,</w:t>
      </w:r>
      <w:r w:rsidR="008F5559" w:rsidRPr="00004507">
        <w:rPr>
          <w:rFonts w:ascii="Arial" w:hAnsi="Arial" w:cs="Arial"/>
          <w:color w:val="000000" w:themeColor="text1"/>
          <w:shd w:val="clear" w:color="auto" w:fill="FFFFFF"/>
          <w:lang w:val="en-US"/>
        </w:rPr>
        <w:t xml:space="preserve"> </w:t>
      </w:r>
      <w:r w:rsidR="00E463C4" w:rsidRPr="00004507">
        <w:rPr>
          <w:rFonts w:ascii="Arial" w:hAnsi="Arial" w:cs="Arial"/>
          <w:color w:val="000000" w:themeColor="text1"/>
          <w:shd w:val="clear" w:color="auto" w:fill="FFFFFF"/>
          <w:lang w:val="en-US"/>
        </w:rPr>
        <w:t>no</w:t>
      </w:r>
      <w:r w:rsidR="008F5559" w:rsidRPr="00004507">
        <w:rPr>
          <w:rFonts w:ascii="Arial" w:hAnsi="Arial" w:cs="Arial"/>
          <w:color w:val="000000" w:themeColor="text1"/>
          <w:shd w:val="clear" w:color="auto" w:fill="FFFFFF"/>
          <w:lang w:val="en-US"/>
        </w:rPr>
        <w:t xml:space="preserve"> </w:t>
      </w:r>
      <w:r w:rsidR="00F731FC" w:rsidRPr="00004507">
        <w:rPr>
          <w:rFonts w:ascii="Arial" w:hAnsi="Arial" w:cs="Arial"/>
          <w:color w:val="000000" w:themeColor="text1"/>
          <w:shd w:val="clear" w:color="auto" w:fill="FFFFFF"/>
          <w:lang w:val="en-US"/>
        </w:rPr>
        <w:t>biomarker</w:t>
      </w:r>
      <w:r w:rsidR="00E463C4" w:rsidRPr="00004507">
        <w:rPr>
          <w:rFonts w:ascii="Arial" w:hAnsi="Arial" w:cs="Arial"/>
          <w:color w:val="000000" w:themeColor="text1"/>
          <w:shd w:val="clear" w:color="auto" w:fill="FFFFFF"/>
          <w:lang w:val="en-US"/>
        </w:rPr>
        <w:t>s have been identified</w:t>
      </w:r>
      <w:r w:rsidR="00F731FC" w:rsidRPr="00004507">
        <w:rPr>
          <w:rFonts w:ascii="Arial" w:hAnsi="Arial" w:cs="Arial"/>
          <w:color w:val="000000" w:themeColor="text1"/>
          <w:shd w:val="clear" w:color="auto" w:fill="FFFFFF"/>
          <w:lang w:val="en-US"/>
        </w:rPr>
        <w:t xml:space="preserve"> that can be used </w:t>
      </w:r>
      <w:r w:rsidR="00F7393A" w:rsidRPr="00004507">
        <w:rPr>
          <w:rFonts w:ascii="Arial" w:hAnsi="Arial" w:cs="Arial"/>
          <w:color w:val="000000" w:themeColor="text1"/>
          <w:shd w:val="clear" w:color="auto" w:fill="FFFFFF"/>
          <w:lang w:val="en-US"/>
        </w:rPr>
        <w:t xml:space="preserve">for the early diagnosis of PEX and </w:t>
      </w:r>
      <w:r w:rsidR="00F731FC" w:rsidRPr="00004507">
        <w:rPr>
          <w:rFonts w:ascii="Arial" w:hAnsi="Arial" w:cs="Arial"/>
          <w:color w:val="000000" w:themeColor="text1"/>
          <w:shd w:val="clear" w:color="auto" w:fill="FFFFFF"/>
          <w:lang w:val="en-US"/>
        </w:rPr>
        <w:t xml:space="preserve">to predict which PEX patients will </w:t>
      </w:r>
      <w:r w:rsidR="008F5559" w:rsidRPr="00004507">
        <w:rPr>
          <w:rFonts w:ascii="Arial" w:hAnsi="Arial" w:cs="Arial"/>
          <w:color w:val="000000" w:themeColor="text1"/>
          <w:shd w:val="clear" w:color="auto" w:fill="FFFFFF"/>
          <w:lang w:val="en-US"/>
        </w:rPr>
        <w:t xml:space="preserve">ultimately </w:t>
      </w:r>
      <w:r w:rsidR="00F731FC" w:rsidRPr="00004507">
        <w:rPr>
          <w:rFonts w:ascii="Arial" w:hAnsi="Arial" w:cs="Arial"/>
          <w:color w:val="000000" w:themeColor="text1"/>
          <w:shd w:val="clear" w:color="auto" w:fill="FFFFFF"/>
          <w:lang w:val="en-US"/>
        </w:rPr>
        <w:t xml:space="preserve">develop PEG. </w:t>
      </w:r>
      <w:r w:rsidR="00F7393A" w:rsidRPr="00004507">
        <w:rPr>
          <w:rFonts w:ascii="Arial" w:hAnsi="Arial" w:cs="Arial"/>
          <w:color w:val="000000" w:themeColor="text1"/>
          <w:shd w:val="clear" w:color="auto" w:fill="FFFFFF"/>
          <w:lang w:val="en-US"/>
        </w:rPr>
        <w:t xml:space="preserve">This is partly because the pathophysiology of PEX is not completely understood. </w:t>
      </w:r>
    </w:p>
    <w:p w14:paraId="20E603D8" w14:textId="7F963D96" w:rsidR="008F28F0" w:rsidRPr="00004507" w:rsidRDefault="00135201" w:rsidP="00C15EA2">
      <w:pPr>
        <w:autoSpaceDE w:val="0"/>
        <w:autoSpaceDN w:val="0"/>
        <w:adjustRightInd w:val="0"/>
        <w:spacing w:after="0" w:line="276" w:lineRule="auto"/>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PEX is a disorder related to</w:t>
      </w:r>
      <w:r w:rsidR="00603473" w:rsidRPr="00004507">
        <w:rPr>
          <w:rFonts w:ascii="Arial" w:hAnsi="Arial" w:cs="Arial"/>
          <w:color w:val="000000" w:themeColor="text1"/>
          <w:lang w:val="en-US"/>
        </w:rPr>
        <w:t xml:space="preserve"> abnormal extracellular matrix synthesis. </w:t>
      </w:r>
      <w:r w:rsidR="00AE069D" w:rsidRPr="00004507">
        <w:rPr>
          <w:rFonts w:ascii="Arial" w:hAnsi="Arial" w:cs="Arial"/>
          <w:color w:val="000000" w:themeColor="text1"/>
          <w:shd w:val="clear" w:color="auto" w:fill="FFFFFF"/>
          <w:lang w:val="en-US"/>
        </w:rPr>
        <w:t xml:space="preserve">In recent years, </w:t>
      </w:r>
      <w:r w:rsidR="00E463C4" w:rsidRPr="00004507">
        <w:rPr>
          <w:rFonts w:ascii="Arial" w:hAnsi="Arial" w:cs="Arial"/>
          <w:color w:val="000000" w:themeColor="text1"/>
          <w:shd w:val="clear" w:color="auto" w:fill="FFFFFF"/>
          <w:lang w:val="en-US"/>
        </w:rPr>
        <w:t xml:space="preserve">a growing body of </w:t>
      </w:r>
      <w:r w:rsidR="00811FBF" w:rsidRPr="00004507">
        <w:rPr>
          <w:rFonts w:ascii="Arial" w:hAnsi="Arial" w:cs="Arial"/>
          <w:color w:val="000000" w:themeColor="text1"/>
          <w:shd w:val="clear" w:color="auto" w:fill="FFFFFF"/>
          <w:lang w:val="en-US"/>
        </w:rPr>
        <w:t xml:space="preserve">evidence </w:t>
      </w:r>
      <w:r w:rsidR="00E463C4" w:rsidRPr="00004507">
        <w:rPr>
          <w:rFonts w:ascii="Arial" w:hAnsi="Arial" w:cs="Arial"/>
          <w:color w:val="000000" w:themeColor="text1"/>
          <w:shd w:val="clear" w:color="auto" w:fill="FFFFFF"/>
          <w:lang w:val="en-US"/>
        </w:rPr>
        <w:t>has implicated</w:t>
      </w:r>
      <w:r w:rsidR="007E2D61" w:rsidRPr="00004507">
        <w:rPr>
          <w:rFonts w:ascii="Arial" w:hAnsi="Arial" w:cs="Arial"/>
          <w:color w:val="000000" w:themeColor="text1"/>
          <w:shd w:val="clear" w:color="auto" w:fill="FFFFFF"/>
          <w:lang w:val="en-US"/>
        </w:rPr>
        <w:t xml:space="preserve"> </w:t>
      </w:r>
      <w:r w:rsidR="00811FBF" w:rsidRPr="00004507">
        <w:rPr>
          <w:rFonts w:ascii="Arial" w:hAnsi="Arial" w:cs="Arial"/>
          <w:color w:val="000000" w:themeColor="text1"/>
          <w:shd w:val="clear" w:color="auto" w:fill="FFFFFF"/>
          <w:lang w:val="en-US"/>
        </w:rPr>
        <w:t xml:space="preserve">that </w:t>
      </w:r>
      <w:r w:rsidR="00177D13" w:rsidRPr="00004507">
        <w:rPr>
          <w:rFonts w:ascii="Arial" w:hAnsi="Arial" w:cs="Arial"/>
          <w:color w:val="000000" w:themeColor="text1"/>
          <w:shd w:val="clear" w:color="auto" w:fill="FFFFFF"/>
          <w:lang w:val="en-US"/>
        </w:rPr>
        <w:t xml:space="preserve">oxidative stress </w:t>
      </w:r>
      <w:r w:rsidR="006F068B" w:rsidRPr="00004507">
        <w:rPr>
          <w:rFonts w:ascii="Arial" w:hAnsi="Arial" w:cs="Arial"/>
          <w:color w:val="000000" w:themeColor="text1"/>
          <w:shd w:val="clear" w:color="auto" w:fill="FFFFFF"/>
          <w:lang w:val="en-US"/>
        </w:rPr>
        <w:t xml:space="preserve">and inflammation </w:t>
      </w:r>
      <w:r w:rsidR="00E463C4" w:rsidRPr="00004507">
        <w:rPr>
          <w:rFonts w:ascii="Arial" w:hAnsi="Arial" w:cs="Arial"/>
          <w:color w:val="000000" w:themeColor="text1"/>
          <w:shd w:val="clear" w:color="auto" w:fill="FFFFFF"/>
          <w:lang w:val="en-US"/>
        </w:rPr>
        <w:t>might play</w:t>
      </w:r>
      <w:r w:rsidR="00177D13" w:rsidRPr="00004507">
        <w:rPr>
          <w:rFonts w:ascii="Arial" w:hAnsi="Arial" w:cs="Arial"/>
          <w:color w:val="000000" w:themeColor="text1"/>
          <w:shd w:val="clear" w:color="auto" w:fill="FFFFFF"/>
          <w:lang w:val="en-US"/>
        </w:rPr>
        <w:t xml:space="preserve"> </w:t>
      </w:r>
      <w:r w:rsidR="00E463C4" w:rsidRPr="00004507">
        <w:rPr>
          <w:rFonts w:ascii="Arial" w:hAnsi="Arial" w:cs="Arial"/>
          <w:color w:val="000000" w:themeColor="text1"/>
          <w:shd w:val="clear" w:color="auto" w:fill="FFFFFF"/>
          <w:lang w:val="en-US"/>
        </w:rPr>
        <w:t>important role</w:t>
      </w:r>
      <w:r w:rsidR="00C66B77" w:rsidRPr="00004507">
        <w:rPr>
          <w:rFonts w:ascii="Arial" w:hAnsi="Arial" w:cs="Arial"/>
          <w:color w:val="000000" w:themeColor="text1"/>
          <w:shd w:val="clear" w:color="auto" w:fill="FFFFFF"/>
          <w:lang w:val="en-US"/>
        </w:rPr>
        <w:t xml:space="preserve">s </w:t>
      </w:r>
      <w:r w:rsidR="00811FBF" w:rsidRPr="00004507">
        <w:rPr>
          <w:rFonts w:ascii="Arial" w:hAnsi="Arial" w:cs="Arial"/>
          <w:color w:val="000000" w:themeColor="text1"/>
          <w:shd w:val="clear" w:color="auto" w:fill="FFFFFF"/>
          <w:lang w:val="en-US"/>
        </w:rPr>
        <w:t>in the path</w:t>
      </w:r>
      <w:r w:rsidR="001C0F23" w:rsidRPr="00004507">
        <w:rPr>
          <w:rFonts w:ascii="Arial" w:hAnsi="Arial" w:cs="Arial"/>
          <w:color w:val="000000" w:themeColor="text1"/>
          <w:shd w:val="clear" w:color="auto" w:fill="FFFFFF"/>
          <w:lang w:val="en-US"/>
        </w:rPr>
        <w:t>ology</w:t>
      </w:r>
      <w:r w:rsidR="00BD608A" w:rsidRPr="00004507">
        <w:rPr>
          <w:rFonts w:ascii="Arial" w:hAnsi="Arial" w:cs="Arial"/>
          <w:color w:val="000000" w:themeColor="text1"/>
          <w:shd w:val="clear" w:color="auto" w:fill="FFFFFF"/>
          <w:lang w:val="en-US"/>
        </w:rPr>
        <w:t xml:space="preserve"> </w:t>
      </w:r>
      <w:r w:rsidR="00D866F6" w:rsidRPr="00004507">
        <w:rPr>
          <w:rFonts w:ascii="Arial" w:hAnsi="Arial" w:cs="Arial"/>
          <w:color w:val="000000" w:themeColor="text1"/>
          <w:shd w:val="clear" w:color="auto" w:fill="FFFFFF"/>
          <w:lang w:val="en-US"/>
        </w:rPr>
        <w:t>[5-14]</w:t>
      </w:r>
      <w:r w:rsidR="007E2D61" w:rsidRPr="00004507">
        <w:rPr>
          <w:rFonts w:ascii="Arial" w:hAnsi="Arial" w:cs="Arial"/>
          <w:color w:val="000000" w:themeColor="text1"/>
          <w:shd w:val="clear" w:color="auto" w:fill="FFFFFF"/>
          <w:lang w:val="en-US"/>
        </w:rPr>
        <w:t xml:space="preserve">. </w:t>
      </w:r>
      <w:r w:rsidR="00336E95" w:rsidRPr="00004507">
        <w:rPr>
          <w:rFonts w:ascii="Arial" w:hAnsi="Arial" w:cs="Arial"/>
          <w:color w:val="000000" w:themeColor="text1"/>
          <w:shd w:val="clear" w:color="auto" w:fill="FFFFFF"/>
          <w:lang w:val="en-US"/>
        </w:rPr>
        <w:t>I</w:t>
      </w:r>
      <w:r w:rsidR="00177D13" w:rsidRPr="00004507">
        <w:rPr>
          <w:rFonts w:ascii="Arial" w:hAnsi="Arial" w:cs="Arial"/>
          <w:color w:val="000000" w:themeColor="text1"/>
          <w:shd w:val="clear" w:color="auto" w:fill="FFFFFF"/>
          <w:lang w:val="en-US"/>
        </w:rPr>
        <w:t>nflammation</w:t>
      </w:r>
      <w:r w:rsidR="008A74A7" w:rsidRPr="00004507">
        <w:rPr>
          <w:rFonts w:ascii="Arial" w:hAnsi="Arial" w:cs="Arial"/>
          <w:color w:val="000000" w:themeColor="text1"/>
          <w:shd w:val="clear" w:color="auto" w:fill="FFFFFF"/>
          <w:lang w:val="en-US"/>
        </w:rPr>
        <w:t>, which</w:t>
      </w:r>
      <w:r w:rsidR="00C92223" w:rsidRPr="00004507">
        <w:rPr>
          <w:rFonts w:ascii="Arial" w:hAnsi="Arial" w:cs="Arial"/>
          <w:color w:val="000000" w:themeColor="text1"/>
          <w:shd w:val="clear" w:color="auto" w:fill="FFFFFF"/>
          <w:lang w:val="en-US"/>
        </w:rPr>
        <w:t xml:space="preserve"> can</w:t>
      </w:r>
      <w:r w:rsidR="008A74A7" w:rsidRPr="00004507">
        <w:rPr>
          <w:rFonts w:ascii="Arial" w:hAnsi="Arial" w:cs="Arial"/>
          <w:color w:val="000000" w:themeColor="text1"/>
          <w:shd w:val="clear" w:color="auto" w:fill="FFFFFF"/>
          <w:lang w:val="en-US"/>
        </w:rPr>
        <w:t xml:space="preserve"> </w:t>
      </w:r>
      <w:r w:rsidR="00177D13" w:rsidRPr="00004507">
        <w:rPr>
          <w:rFonts w:ascii="Arial" w:hAnsi="Arial" w:cs="Arial"/>
          <w:color w:val="000000" w:themeColor="text1"/>
          <w:shd w:val="clear" w:color="auto" w:fill="FFFFFF"/>
          <w:lang w:val="en-US"/>
        </w:rPr>
        <w:t>be a manifestation of increased oxidative stress</w:t>
      </w:r>
      <w:r w:rsidR="008A74A7" w:rsidRPr="00004507">
        <w:rPr>
          <w:rFonts w:ascii="Arial" w:hAnsi="Arial" w:cs="Arial"/>
          <w:color w:val="000000" w:themeColor="text1"/>
          <w:shd w:val="clear" w:color="auto" w:fill="FFFFFF"/>
          <w:lang w:val="en-US"/>
        </w:rPr>
        <w:t>,</w:t>
      </w:r>
      <w:r w:rsidR="00177D13" w:rsidRPr="00004507">
        <w:rPr>
          <w:rFonts w:ascii="Arial" w:hAnsi="Arial" w:cs="Arial"/>
          <w:color w:val="000000" w:themeColor="text1"/>
          <w:shd w:val="clear" w:color="auto" w:fill="FFFFFF"/>
          <w:lang w:val="en-US"/>
        </w:rPr>
        <w:t xml:space="preserve"> can activate</w:t>
      </w:r>
      <w:r w:rsidR="0023028B" w:rsidRPr="00004507">
        <w:rPr>
          <w:rFonts w:ascii="Arial" w:hAnsi="Arial" w:cs="Arial"/>
          <w:color w:val="000000" w:themeColor="text1"/>
          <w:shd w:val="clear" w:color="auto" w:fill="FFFFFF"/>
          <w:lang w:val="en-US"/>
        </w:rPr>
        <w:t xml:space="preserve"> </w:t>
      </w:r>
      <w:r w:rsidR="0092650B" w:rsidRPr="00004507">
        <w:rPr>
          <w:rFonts w:ascii="Arial" w:hAnsi="Arial" w:cs="Arial"/>
          <w:color w:val="000000" w:themeColor="text1"/>
          <w:shd w:val="clear" w:color="auto" w:fill="FFFFFF"/>
          <w:lang w:val="en-US"/>
        </w:rPr>
        <w:t xml:space="preserve">the </w:t>
      </w:r>
      <w:r w:rsidR="0023028B" w:rsidRPr="00004507">
        <w:rPr>
          <w:rFonts w:ascii="Arial" w:hAnsi="Arial" w:cs="Arial"/>
          <w:color w:val="000000" w:themeColor="text1"/>
          <w:shd w:val="clear" w:color="auto" w:fill="FFFFFF"/>
          <w:lang w:val="en-US"/>
        </w:rPr>
        <w:t>fibrotic process</w:t>
      </w:r>
      <w:r w:rsidR="0092650B" w:rsidRPr="00004507">
        <w:rPr>
          <w:rFonts w:ascii="Arial" w:hAnsi="Arial" w:cs="Arial"/>
          <w:color w:val="000000" w:themeColor="text1"/>
          <w:shd w:val="clear" w:color="auto" w:fill="FFFFFF"/>
          <w:lang w:val="en-US"/>
        </w:rPr>
        <w:t>,</w:t>
      </w:r>
      <w:r w:rsidR="00177D13" w:rsidRPr="00004507">
        <w:rPr>
          <w:rFonts w:ascii="Arial" w:hAnsi="Arial" w:cs="Arial"/>
          <w:color w:val="000000" w:themeColor="text1"/>
          <w:shd w:val="clear" w:color="auto" w:fill="FFFFFF"/>
          <w:lang w:val="en-US"/>
        </w:rPr>
        <w:t xml:space="preserve"> which </w:t>
      </w:r>
      <w:r w:rsidR="0092650B" w:rsidRPr="00004507">
        <w:rPr>
          <w:rFonts w:ascii="Arial" w:hAnsi="Arial" w:cs="Arial"/>
          <w:color w:val="000000" w:themeColor="text1"/>
          <w:shd w:val="clear" w:color="auto" w:fill="FFFFFF"/>
          <w:lang w:val="en-US"/>
        </w:rPr>
        <w:t xml:space="preserve">can </w:t>
      </w:r>
      <w:r w:rsidR="00177D13" w:rsidRPr="00004507">
        <w:rPr>
          <w:rFonts w:ascii="Arial" w:hAnsi="Arial" w:cs="Arial"/>
          <w:color w:val="000000" w:themeColor="text1"/>
          <w:shd w:val="clear" w:color="auto" w:fill="FFFFFF"/>
          <w:lang w:val="en-US"/>
        </w:rPr>
        <w:t>in turn lead</w:t>
      </w:r>
      <w:r w:rsidR="0023028B" w:rsidRPr="00004507">
        <w:rPr>
          <w:rFonts w:ascii="Arial" w:hAnsi="Arial" w:cs="Arial"/>
          <w:color w:val="000000" w:themeColor="text1"/>
          <w:shd w:val="clear" w:color="auto" w:fill="FFFFFF"/>
          <w:lang w:val="en-US"/>
        </w:rPr>
        <w:t xml:space="preserve"> to the </w:t>
      </w:r>
      <w:r w:rsidR="00177D13" w:rsidRPr="00004507">
        <w:rPr>
          <w:rFonts w:ascii="Arial" w:hAnsi="Arial" w:cs="Arial"/>
          <w:color w:val="000000" w:themeColor="text1"/>
          <w:shd w:val="clear" w:color="auto" w:fill="FFFFFF"/>
          <w:lang w:val="en-US"/>
        </w:rPr>
        <w:t xml:space="preserve">formation of </w:t>
      </w:r>
      <w:r w:rsidR="0023028B" w:rsidRPr="00004507">
        <w:rPr>
          <w:rFonts w:ascii="Arial" w:hAnsi="Arial" w:cs="Arial"/>
          <w:color w:val="000000" w:themeColor="text1"/>
          <w:shd w:val="clear" w:color="auto" w:fill="FFFFFF"/>
          <w:lang w:val="en-US"/>
        </w:rPr>
        <w:t xml:space="preserve">characteristic </w:t>
      </w:r>
      <w:r w:rsidR="0023028B" w:rsidRPr="00004507">
        <w:rPr>
          <w:rFonts w:ascii="Arial" w:hAnsi="Arial" w:cs="Arial"/>
          <w:color w:val="000000" w:themeColor="text1"/>
          <w:lang w:val="en-US"/>
        </w:rPr>
        <w:t xml:space="preserve">fibrotic deposits in the eye </w:t>
      </w:r>
      <w:r w:rsidR="00714155" w:rsidRPr="00004507">
        <w:rPr>
          <w:rFonts w:ascii="Arial" w:hAnsi="Arial" w:cs="Arial"/>
          <w:color w:val="000000" w:themeColor="text1"/>
          <w:lang w:val="en-US"/>
        </w:rPr>
        <w:t>[15]</w:t>
      </w:r>
      <w:r w:rsidR="0023028B" w:rsidRPr="00004507">
        <w:rPr>
          <w:rFonts w:ascii="Arial" w:hAnsi="Arial" w:cs="Arial"/>
          <w:color w:val="000000" w:themeColor="text1"/>
          <w:shd w:val="clear" w:color="auto" w:fill="FFFFFF"/>
          <w:lang w:val="en-US"/>
        </w:rPr>
        <w:t xml:space="preserve">. </w:t>
      </w:r>
      <w:r w:rsidR="008A74A7" w:rsidRPr="00004507">
        <w:rPr>
          <w:rFonts w:ascii="Arial" w:hAnsi="Arial" w:cs="Arial"/>
          <w:color w:val="000000" w:themeColor="text1"/>
          <w:shd w:val="clear" w:color="auto" w:fill="FFFFFF"/>
          <w:lang w:val="en-US"/>
        </w:rPr>
        <w:t xml:space="preserve">Hence, </w:t>
      </w:r>
      <w:r w:rsidR="0092650B" w:rsidRPr="00004507">
        <w:rPr>
          <w:rFonts w:ascii="Arial" w:hAnsi="Arial" w:cs="Arial"/>
          <w:color w:val="000000" w:themeColor="text1"/>
          <w:shd w:val="clear" w:color="auto" w:fill="FFFFFF"/>
          <w:lang w:val="en-US"/>
        </w:rPr>
        <w:t xml:space="preserve">some </w:t>
      </w:r>
      <w:r w:rsidR="00B8291F" w:rsidRPr="00004507">
        <w:rPr>
          <w:rFonts w:ascii="Arial" w:hAnsi="Arial" w:cs="Arial"/>
          <w:color w:val="000000" w:themeColor="text1"/>
          <w:shd w:val="clear" w:color="auto" w:fill="FFFFFF"/>
          <w:lang w:val="en-US"/>
        </w:rPr>
        <w:t xml:space="preserve">reports </w:t>
      </w:r>
      <w:r w:rsidR="0092650B" w:rsidRPr="00004507">
        <w:rPr>
          <w:rFonts w:ascii="Arial" w:hAnsi="Arial" w:cs="Arial"/>
          <w:color w:val="000000" w:themeColor="text1"/>
          <w:shd w:val="clear" w:color="auto" w:fill="FFFFFF"/>
          <w:lang w:val="en-US"/>
        </w:rPr>
        <w:t xml:space="preserve">have shown </w:t>
      </w:r>
      <w:r w:rsidR="00B8291F" w:rsidRPr="00004507">
        <w:rPr>
          <w:rFonts w:ascii="Arial" w:hAnsi="Arial" w:cs="Arial"/>
          <w:color w:val="000000" w:themeColor="text1"/>
          <w:shd w:val="clear" w:color="auto" w:fill="FFFFFF"/>
          <w:lang w:val="en-US"/>
        </w:rPr>
        <w:t xml:space="preserve">increased levels of </w:t>
      </w:r>
      <w:proofErr w:type="spellStart"/>
      <w:r w:rsidR="00B8291F" w:rsidRPr="00004507">
        <w:rPr>
          <w:rFonts w:ascii="Arial" w:hAnsi="Arial" w:cs="Arial"/>
          <w:color w:val="000000" w:themeColor="text1"/>
          <w:shd w:val="clear" w:color="auto" w:fill="FFFFFF"/>
          <w:lang w:val="en-US"/>
        </w:rPr>
        <w:t>proinflammatory</w:t>
      </w:r>
      <w:proofErr w:type="spellEnd"/>
      <w:r w:rsidR="00B8291F" w:rsidRPr="00004507">
        <w:rPr>
          <w:rFonts w:ascii="Arial" w:hAnsi="Arial" w:cs="Arial"/>
          <w:color w:val="000000" w:themeColor="text1"/>
          <w:shd w:val="clear" w:color="auto" w:fill="FFFFFF"/>
          <w:lang w:val="en-US"/>
        </w:rPr>
        <w:t xml:space="preserve"> cytokines in </w:t>
      </w:r>
      <w:r w:rsidR="00DD31DE" w:rsidRPr="00004507">
        <w:rPr>
          <w:rFonts w:ascii="Arial" w:hAnsi="Arial" w:cs="Arial"/>
          <w:color w:val="000000" w:themeColor="text1"/>
          <w:shd w:val="clear" w:color="auto" w:fill="FFFFFF"/>
          <w:lang w:val="en-US"/>
        </w:rPr>
        <w:t xml:space="preserve">the aqueous humor samples of </w:t>
      </w:r>
      <w:r w:rsidR="00B8291F" w:rsidRPr="00004507">
        <w:rPr>
          <w:rFonts w:ascii="Arial" w:hAnsi="Arial" w:cs="Arial"/>
          <w:color w:val="000000" w:themeColor="text1"/>
          <w:shd w:val="clear" w:color="auto" w:fill="FFFFFF"/>
          <w:lang w:val="en-US"/>
        </w:rPr>
        <w:t xml:space="preserve">PEX and PEG </w:t>
      </w:r>
      <w:r w:rsidR="00DD31DE" w:rsidRPr="00004507">
        <w:rPr>
          <w:rFonts w:ascii="Arial" w:hAnsi="Arial" w:cs="Arial"/>
          <w:color w:val="000000" w:themeColor="text1"/>
          <w:shd w:val="clear" w:color="auto" w:fill="FFFFFF"/>
          <w:lang w:val="en-US"/>
        </w:rPr>
        <w:t xml:space="preserve">patients </w:t>
      </w:r>
      <w:r w:rsidR="00714155" w:rsidRPr="00004507">
        <w:rPr>
          <w:rFonts w:ascii="Arial" w:hAnsi="Arial" w:cs="Arial"/>
          <w:color w:val="000000" w:themeColor="text1"/>
          <w:shd w:val="clear" w:color="auto" w:fill="FFFFFF"/>
          <w:lang w:val="en-US"/>
        </w:rPr>
        <w:t>[14</w:t>
      </w:r>
      <w:proofErr w:type="gramStart"/>
      <w:r w:rsidR="00714155" w:rsidRPr="00004507">
        <w:rPr>
          <w:rFonts w:ascii="Arial" w:hAnsi="Arial" w:cs="Arial"/>
          <w:color w:val="000000" w:themeColor="text1"/>
          <w:shd w:val="clear" w:color="auto" w:fill="FFFFFF"/>
          <w:lang w:val="en-US"/>
        </w:rPr>
        <w:t>,15</w:t>
      </w:r>
      <w:proofErr w:type="gramEnd"/>
      <w:r w:rsidR="00714155" w:rsidRPr="00004507">
        <w:rPr>
          <w:rFonts w:ascii="Arial" w:hAnsi="Arial" w:cs="Arial"/>
          <w:color w:val="000000" w:themeColor="text1"/>
          <w:shd w:val="clear" w:color="auto" w:fill="FFFFFF"/>
          <w:lang w:val="en-US"/>
        </w:rPr>
        <w:t>]</w:t>
      </w:r>
      <w:r w:rsidR="00B8291F" w:rsidRPr="00004507">
        <w:rPr>
          <w:rFonts w:ascii="Arial" w:hAnsi="Arial" w:cs="Arial"/>
          <w:color w:val="000000" w:themeColor="text1"/>
          <w:shd w:val="clear" w:color="auto" w:fill="FFFFFF"/>
          <w:lang w:val="en-US"/>
        </w:rPr>
        <w:t>.</w:t>
      </w:r>
      <w:r w:rsidR="008F28F0" w:rsidRPr="00004507">
        <w:rPr>
          <w:rFonts w:ascii="Arial" w:hAnsi="Arial" w:cs="Arial"/>
          <w:color w:val="000000" w:themeColor="text1"/>
          <w:shd w:val="clear" w:color="auto" w:fill="FFFFFF"/>
          <w:lang w:val="en-US"/>
        </w:rPr>
        <w:t xml:space="preserve"> </w:t>
      </w:r>
    </w:p>
    <w:p w14:paraId="03D9EE46" w14:textId="77777777" w:rsidR="008F28F0" w:rsidRPr="00004507" w:rsidRDefault="008F28F0" w:rsidP="00C15EA2">
      <w:pPr>
        <w:spacing w:before="240" w:after="0" w:line="276" w:lineRule="auto"/>
        <w:contextualSpacing/>
        <w:jc w:val="both"/>
        <w:rPr>
          <w:rFonts w:ascii="Arial" w:hAnsi="Arial" w:cs="Arial"/>
          <w:color w:val="000000" w:themeColor="text1"/>
          <w:shd w:val="clear" w:color="auto" w:fill="FFFFFF"/>
          <w:lang w:val="en-US"/>
        </w:rPr>
      </w:pPr>
    </w:p>
    <w:p w14:paraId="676AC053" w14:textId="405FB052" w:rsidR="00981512" w:rsidRPr="00837CFE" w:rsidRDefault="00837615" w:rsidP="00981512">
      <w:pPr>
        <w:spacing w:before="240" w:after="0" w:line="276" w:lineRule="auto"/>
        <w:contextualSpacing/>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Human p</w:t>
      </w:r>
      <w:r w:rsidR="00B564A3" w:rsidRPr="00004507">
        <w:rPr>
          <w:rFonts w:ascii="Arial" w:hAnsi="Arial" w:cs="Arial"/>
          <w:color w:val="000000" w:themeColor="text1"/>
          <w:lang w:val="en-US"/>
        </w:rPr>
        <w:t>araoxonase 1 (</w:t>
      </w:r>
      <w:r w:rsidR="00C2720E" w:rsidRPr="00004507">
        <w:rPr>
          <w:rFonts w:ascii="Arial" w:hAnsi="Arial" w:cs="Arial"/>
          <w:color w:val="000000" w:themeColor="text1"/>
          <w:lang w:val="en-US"/>
        </w:rPr>
        <w:t>PON1</w:t>
      </w:r>
      <w:r w:rsidR="00B564A3" w:rsidRPr="00004507">
        <w:rPr>
          <w:rFonts w:ascii="Arial" w:hAnsi="Arial" w:cs="Arial"/>
          <w:color w:val="000000" w:themeColor="text1"/>
          <w:lang w:val="en-US"/>
        </w:rPr>
        <w:t>)</w:t>
      </w:r>
      <w:r w:rsidR="00932D16" w:rsidRPr="00004507">
        <w:rPr>
          <w:rFonts w:ascii="Arial" w:hAnsi="Arial" w:cs="Arial"/>
          <w:color w:val="000000" w:themeColor="text1"/>
          <w:lang w:val="en-US"/>
        </w:rPr>
        <w:t xml:space="preserve"> (</w:t>
      </w:r>
      <w:r w:rsidR="00BD608A" w:rsidRPr="00004507">
        <w:rPr>
          <w:rFonts w:ascii="Arial" w:hAnsi="Arial" w:cs="Arial"/>
          <w:color w:val="000000" w:themeColor="text1"/>
          <w:lang w:val="en-US"/>
        </w:rPr>
        <w:t>EC.3.1.8.1</w:t>
      </w:r>
      <w:r w:rsidR="00932D16" w:rsidRPr="00004507">
        <w:rPr>
          <w:rFonts w:ascii="Arial" w:hAnsi="Arial" w:cs="Arial"/>
          <w:color w:val="000000" w:themeColor="text1"/>
          <w:lang w:val="en-US"/>
        </w:rPr>
        <w:t xml:space="preserve">) </w:t>
      </w:r>
      <w:r w:rsidR="00C2720E" w:rsidRPr="00004507">
        <w:rPr>
          <w:rFonts w:ascii="Arial" w:hAnsi="Arial" w:cs="Arial"/>
          <w:color w:val="000000" w:themeColor="text1"/>
          <w:lang w:val="en-US"/>
        </w:rPr>
        <w:t xml:space="preserve">is </w:t>
      </w:r>
      <w:r w:rsidR="00B564A3" w:rsidRPr="00004507">
        <w:rPr>
          <w:rFonts w:ascii="Arial" w:hAnsi="Arial" w:cs="Arial"/>
          <w:color w:val="000000" w:themeColor="text1"/>
          <w:lang w:val="en-US"/>
        </w:rPr>
        <w:t>a well-recognized a</w:t>
      </w:r>
      <w:r w:rsidR="00C2720E" w:rsidRPr="00004507">
        <w:rPr>
          <w:rFonts w:ascii="Arial" w:hAnsi="Arial" w:cs="Arial"/>
          <w:color w:val="000000" w:themeColor="text1"/>
          <w:lang w:val="en-US"/>
        </w:rPr>
        <w:t xml:space="preserve">nti-oxidant </w:t>
      </w:r>
      <w:r w:rsidR="00504931" w:rsidRPr="00004507">
        <w:rPr>
          <w:rFonts w:ascii="Arial" w:hAnsi="Arial" w:cs="Arial"/>
          <w:color w:val="000000" w:themeColor="text1"/>
          <w:lang w:val="en-US"/>
        </w:rPr>
        <w:t xml:space="preserve">and anti-inflammatory </w:t>
      </w:r>
      <w:r w:rsidR="00C2720E" w:rsidRPr="00004507">
        <w:rPr>
          <w:rFonts w:ascii="Arial" w:hAnsi="Arial" w:cs="Arial"/>
          <w:color w:val="000000" w:themeColor="text1"/>
          <w:lang w:val="en-US"/>
        </w:rPr>
        <w:t>enzyme</w:t>
      </w:r>
      <w:r w:rsidR="00915AA4" w:rsidRPr="00004507">
        <w:rPr>
          <w:rFonts w:ascii="Arial" w:hAnsi="Arial" w:cs="Arial"/>
          <w:color w:val="000000" w:themeColor="text1"/>
          <w:lang w:val="en-US"/>
        </w:rPr>
        <w:t>,</w:t>
      </w:r>
      <w:r w:rsidR="00504931" w:rsidRPr="00004507">
        <w:rPr>
          <w:rFonts w:ascii="Arial" w:hAnsi="Arial" w:cs="Arial"/>
          <w:color w:val="000000" w:themeColor="text1"/>
          <w:lang w:val="en-US"/>
        </w:rPr>
        <w:t xml:space="preserve"> associated with</w:t>
      </w:r>
      <w:r w:rsidR="00915AA4" w:rsidRPr="00004507">
        <w:rPr>
          <w:rFonts w:ascii="Arial" w:hAnsi="Arial" w:cs="Arial"/>
          <w:color w:val="000000" w:themeColor="text1"/>
          <w:lang w:val="en-US"/>
        </w:rPr>
        <w:t xml:space="preserve"> serum</w:t>
      </w:r>
      <w:r w:rsidR="00504931" w:rsidRPr="00004507">
        <w:rPr>
          <w:rFonts w:ascii="Arial" w:hAnsi="Arial" w:cs="Arial"/>
          <w:color w:val="000000" w:themeColor="text1"/>
          <w:lang w:val="en-US"/>
        </w:rPr>
        <w:t xml:space="preserve"> </w:t>
      </w:r>
      <w:r w:rsidR="00915AA4" w:rsidRPr="00004507">
        <w:rPr>
          <w:rFonts w:ascii="Arial" w:hAnsi="Arial" w:cs="Arial"/>
          <w:color w:val="000000" w:themeColor="text1"/>
          <w:lang w:val="en-US"/>
        </w:rPr>
        <w:t>high density lipoprotein</w:t>
      </w:r>
      <w:r w:rsidR="00504931" w:rsidRPr="00004507">
        <w:rPr>
          <w:rFonts w:ascii="Arial" w:hAnsi="Arial" w:cs="Arial"/>
          <w:color w:val="000000" w:themeColor="text1"/>
          <w:lang w:val="en-US"/>
        </w:rPr>
        <w:t xml:space="preserve">. </w:t>
      </w:r>
      <w:r w:rsidR="00915AA4" w:rsidRPr="00004507">
        <w:rPr>
          <w:rFonts w:ascii="Arial" w:hAnsi="Arial" w:cs="Arial"/>
          <w:color w:val="000000" w:themeColor="text1"/>
          <w:lang w:val="en-US"/>
        </w:rPr>
        <w:t xml:space="preserve">It </w:t>
      </w:r>
      <w:r w:rsidR="00ED5EB9" w:rsidRPr="00004507">
        <w:rPr>
          <w:rFonts w:ascii="Arial" w:hAnsi="Arial" w:cs="Arial"/>
          <w:color w:val="000000" w:themeColor="text1"/>
          <w:lang w:val="en-US"/>
        </w:rPr>
        <w:t xml:space="preserve">is also found in the aqueous humor and in tears </w:t>
      </w:r>
      <w:r w:rsidR="00785113" w:rsidRPr="00004507">
        <w:rPr>
          <w:rFonts w:ascii="Arial" w:hAnsi="Arial" w:cs="Arial"/>
          <w:color w:val="000000" w:themeColor="text1"/>
          <w:lang w:val="en-US"/>
        </w:rPr>
        <w:t>[16</w:t>
      </w:r>
      <w:proofErr w:type="gramStart"/>
      <w:r w:rsidR="00785113" w:rsidRPr="00004507">
        <w:rPr>
          <w:rFonts w:ascii="Arial" w:hAnsi="Arial" w:cs="Arial"/>
          <w:color w:val="000000" w:themeColor="text1"/>
          <w:lang w:val="en-US"/>
        </w:rPr>
        <w:t>,17</w:t>
      </w:r>
      <w:proofErr w:type="gramEnd"/>
      <w:r w:rsidR="00785113" w:rsidRPr="00004507">
        <w:rPr>
          <w:rFonts w:ascii="Arial" w:hAnsi="Arial" w:cs="Arial"/>
          <w:color w:val="000000" w:themeColor="text1"/>
          <w:lang w:val="en-US"/>
        </w:rPr>
        <w:t>]</w:t>
      </w:r>
      <w:r w:rsidR="00D06DCC" w:rsidRPr="00004507">
        <w:rPr>
          <w:rFonts w:ascii="Arial" w:hAnsi="Arial" w:cs="Arial"/>
          <w:color w:val="000000" w:themeColor="text1"/>
          <w:lang w:val="en-US"/>
        </w:rPr>
        <w:t xml:space="preserve">. </w:t>
      </w:r>
      <w:r w:rsidR="00915AA4" w:rsidRPr="00004507">
        <w:rPr>
          <w:rFonts w:ascii="Arial" w:hAnsi="Arial" w:cs="Arial"/>
          <w:color w:val="000000" w:themeColor="text1"/>
          <w:lang w:val="en-US"/>
        </w:rPr>
        <w:t>Moreover, s</w:t>
      </w:r>
      <w:r w:rsidR="00F71DF4" w:rsidRPr="00004507">
        <w:rPr>
          <w:rFonts w:ascii="Arial" w:hAnsi="Arial" w:cs="Arial"/>
          <w:color w:val="000000" w:themeColor="text1"/>
          <w:lang w:val="en-US"/>
        </w:rPr>
        <w:t xml:space="preserve">everal lines of evidence indicate that </w:t>
      </w:r>
      <w:r w:rsidR="00317CBB" w:rsidRPr="00004507">
        <w:rPr>
          <w:rFonts w:ascii="Arial" w:hAnsi="Arial" w:cs="Arial"/>
          <w:color w:val="000000" w:themeColor="text1"/>
          <w:shd w:val="clear" w:color="auto" w:fill="FFFFFF"/>
          <w:lang w:val="en-US"/>
        </w:rPr>
        <w:t>PON1</w:t>
      </w:r>
      <w:r w:rsidR="008F252C" w:rsidRPr="00004507">
        <w:rPr>
          <w:rFonts w:ascii="Arial" w:hAnsi="Arial" w:cs="Arial"/>
          <w:color w:val="000000" w:themeColor="text1"/>
          <w:shd w:val="clear" w:color="auto" w:fill="FFFFFF"/>
          <w:lang w:val="en-US"/>
        </w:rPr>
        <w:t xml:space="preserve"> reduces inflammation</w:t>
      </w:r>
      <w:r w:rsidR="00317CBB" w:rsidRPr="00004507">
        <w:rPr>
          <w:rFonts w:ascii="Arial" w:hAnsi="Arial" w:cs="Arial"/>
          <w:color w:val="000000" w:themeColor="text1"/>
          <w:shd w:val="clear" w:color="auto" w:fill="FFFFFF"/>
          <w:lang w:val="en-US"/>
        </w:rPr>
        <w:t>.</w:t>
      </w:r>
      <w:r w:rsidR="00F71DF4" w:rsidRPr="00004507">
        <w:rPr>
          <w:rFonts w:ascii="Arial" w:hAnsi="Arial" w:cs="Arial"/>
          <w:color w:val="000000" w:themeColor="text1"/>
          <w:shd w:val="clear" w:color="auto" w:fill="FFFFFF"/>
          <w:lang w:val="en-US"/>
        </w:rPr>
        <w:t xml:space="preserve"> For example, </w:t>
      </w:r>
      <w:r w:rsidR="00F71DF4" w:rsidRPr="00004507">
        <w:rPr>
          <w:rFonts w:ascii="Arial" w:hAnsi="Arial" w:cs="Arial"/>
          <w:i/>
          <w:color w:val="000000" w:themeColor="text1"/>
          <w:shd w:val="clear" w:color="auto" w:fill="FFFFFF"/>
          <w:lang w:val="en-US"/>
        </w:rPr>
        <w:t>PON1</w:t>
      </w:r>
      <w:r w:rsidR="00F71DF4" w:rsidRPr="00004507">
        <w:rPr>
          <w:rFonts w:ascii="Arial" w:hAnsi="Arial" w:cs="Arial"/>
          <w:color w:val="000000" w:themeColor="text1"/>
          <w:shd w:val="clear" w:color="auto" w:fill="FFFFFF"/>
          <w:lang w:val="en-US"/>
        </w:rPr>
        <w:t xml:space="preserve"> </w:t>
      </w:r>
      <w:r w:rsidR="00915AA4" w:rsidRPr="00004507">
        <w:rPr>
          <w:rFonts w:ascii="Arial" w:hAnsi="Arial" w:cs="Arial"/>
          <w:color w:val="000000" w:themeColor="text1"/>
          <w:shd w:val="clear" w:color="auto" w:fill="FFFFFF"/>
          <w:lang w:val="en-US"/>
        </w:rPr>
        <w:t>knockout ha</w:t>
      </w:r>
      <w:r w:rsidR="00F71DF4" w:rsidRPr="00004507">
        <w:rPr>
          <w:rFonts w:ascii="Arial" w:hAnsi="Arial" w:cs="Arial"/>
          <w:color w:val="000000" w:themeColor="text1"/>
          <w:shd w:val="clear" w:color="auto" w:fill="FFFFFF"/>
          <w:lang w:val="en-US"/>
        </w:rPr>
        <w:t xml:space="preserve">s </w:t>
      </w:r>
      <w:r w:rsidR="00317CBB" w:rsidRPr="00004507">
        <w:rPr>
          <w:rFonts w:ascii="Arial" w:hAnsi="Arial" w:cs="Arial"/>
          <w:color w:val="000000" w:themeColor="text1"/>
          <w:shd w:val="clear" w:color="auto" w:fill="FFFFFF"/>
          <w:lang w:val="en-US"/>
        </w:rPr>
        <w:t>pro-inflammatory and pro-</w:t>
      </w:r>
      <w:proofErr w:type="spellStart"/>
      <w:r w:rsidR="00317CBB" w:rsidRPr="00004507">
        <w:rPr>
          <w:rFonts w:ascii="Arial" w:hAnsi="Arial" w:cs="Arial"/>
          <w:color w:val="000000" w:themeColor="text1"/>
          <w:shd w:val="clear" w:color="auto" w:fill="FFFFFF"/>
          <w:lang w:val="en-US"/>
        </w:rPr>
        <w:t>atherogenic</w:t>
      </w:r>
      <w:proofErr w:type="spellEnd"/>
      <w:r w:rsidR="00F71DF4" w:rsidRPr="00004507">
        <w:rPr>
          <w:rFonts w:ascii="Arial" w:hAnsi="Arial" w:cs="Arial"/>
          <w:color w:val="000000" w:themeColor="text1"/>
          <w:shd w:val="clear" w:color="auto" w:fill="FFFFFF"/>
          <w:lang w:val="en-US"/>
        </w:rPr>
        <w:t xml:space="preserve"> effects; </w:t>
      </w:r>
      <w:r w:rsidR="00B26F2F" w:rsidRPr="00004507">
        <w:rPr>
          <w:rFonts w:ascii="Arial" w:hAnsi="Arial" w:cs="Arial"/>
          <w:color w:val="000000" w:themeColor="text1"/>
          <w:shd w:val="clear" w:color="auto" w:fill="FFFFFF"/>
          <w:lang w:val="en-US"/>
        </w:rPr>
        <w:t>and</w:t>
      </w:r>
      <w:r w:rsidR="00F71DF4" w:rsidRPr="00004507">
        <w:rPr>
          <w:rFonts w:ascii="Arial" w:hAnsi="Arial" w:cs="Arial"/>
          <w:color w:val="000000" w:themeColor="text1"/>
          <w:shd w:val="clear" w:color="auto" w:fill="FFFFFF"/>
          <w:lang w:val="en-US"/>
        </w:rPr>
        <w:t xml:space="preserve"> </w:t>
      </w:r>
      <w:r w:rsidR="00915AA4" w:rsidRPr="00004507">
        <w:rPr>
          <w:rFonts w:ascii="Arial" w:hAnsi="Arial" w:cs="Arial"/>
          <w:color w:val="000000" w:themeColor="text1"/>
          <w:shd w:val="clear" w:color="auto" w:fill="FFFFFF"/>
          <w:lang w:val="en-US"/>
        </w:rPr>
        <w:t xml:space="preserve">the </w:t>
      </w:r>
      <w:r w:rsidR="00317CBB" w:rsidRPr="00004507">
        <w:rPr>
          <w:rFonts w:ascii="Arial" w:hAnsi="Arial" w:cs="Arial"/>
          <w:color w:val="000000" w:themeColor="text1"/>
          <w:shd w:val="clear" w:color="auto" w:fill="FFFFFF"/>
          <w:lang w:val="en-US"/>
        </w:rPr>
        <w:t xml:space="preserve">overexpression of human </w:t>
      </w:r>
      <w:r w:rsidR="00317CBB" w:rsidRPr="00004507">
        <w:rPr>
          <w:rFonts w:ascii="Arial" w:hAnsi="Arial" w:cs="Arial"/>
          <w:i/>
          <w:color w:val="000000" w:themeColor="text1"/>
          <w:shd w:val="clear" w:color="auto" w:fill="FFFFFF"/>
          <w:lang w:val="en-US"/>
        </w:rPr>
        <w:t>PON1</w:t>
      </w:r>
      <w:r w:rsidR="00317CBB" w:rsidRPr="00004507">
        <w:rPr>
          <w:rFonts w:ascii="Arial" w:hAnsi="Arial" w:cs="Arial"/>
          <w:color w:val="000000" w:themeColor="text1"/>
          <w:shd w:val="clear" w:color="auto" w:fill="FFFFFF"/>
          <w:lang w:val="en-US"/>
        </w:rPr>
        <w:t xml:space="preserve"> is anti-inflammatory and anti-</w:t>
      </w:r>
      <w:proofErr w:type="spellStart"/>
      <w:r w:rsidR="00317CBB" w:rsidRPr="00004507">
        <w:rPr>
          <w:rFonts w:ascii="Arial" w:hAnsi="Arial" w:cs="Arial"/>
          <w:color w:val="000000" w:themeColor="text1"/>
          <w:shd w:val="clear" w:color="auto" w:fill="FFFFFF"/>
          <w:lang w:val="en-US"/>
        </w:rPr>
        <w:t>atherogenic</w:t>
      </w:r>
      <w:proofErr w:type="spellEnd"/>
      <w:r w:rsidR="00317CBB" w:rsidRPr="00004507">
        <w:rPr>
          <w:rFonts w:ascii="Arial" w:hAnsi="Arial" w:cs="Arial"/>
          <w:color w:val="000000" w:themeColor="text1"/>
          <w:shd w:val="clear" w:color="auto" w:fill="FFFFFF"/>
          <w:lang w:val="en-US"/>
        </w:rPr>
        <w:t xml:space="preserve"> </w:t>
      </w:r>
      <w:r w:rsidR="00785113" w:rsidRPr="00004507">
        <w:rPr>
          <w:rFonts w:ascii="Arial" w:hAnsi="Arial" w:cs="Arial"/>
          <w:color w:val="000000" w:themeColor="text1"/>
          <w:shd w:val="clear" w:color="auto" w:fill="FFFFFF"/>
          <w:lang w:val="en-US"/>
        </w:rPr>
        <w:t>[18]</w:t>
      </w:r>
      <w:r w:rsidR="00317CBB" w:rsidRPr="00004507">
        <w:rPr>
          <w:rFonts w:ascii="Arial" w:hAnsi="Arial" w:cs="Arial"/>
          <w:color w:val="000000" w:themeColor="text1"/>
          <w:shd w:val="clear" w:color="auto" w:fill="FFFFFF"/>
          <w:lang w:val="en-US"/>
        </w:rPr>
        <w:t xml:space="preserve">. </w:t>
      </w:r>
      <w:r w:rsidR="00504931" w:rsidRPr="00004507">
        <w:rPr>
          <w:rFonts w:ascii="Arial" w:hAnsi="Arial" w:cs="Arial"/>
          <w:color w:val="000000" w:themeColor="text1"/>
          <w:lang w:val="en-US"/>
        </w:rPr>
        <w:t>PON1</w:t>
      </w:r>
      <w:r w:rsidR="00C338BF" w:rsidRPr="00004507">
        <w:rPr>
          <w:rFonts w:ascii="Arial" w:hAnsi="Arial" w:cs="Arial"/>
          <w:color w:val="000000" w:themeColor="text1"/>
          <w:lang w:val="en-US"/>
        </w:rPr>
        <w:t xml:space="preserve"> has also been observed to reduce</w:t>
      </w:r>
      <w:r w:rsidR="00317CBB" w:rsidRPr="00004507">
        <w:rPr>
          <w:rFonts w:ascii="Arial" w:hAnsi="Arial" w:cs="Arial"/>
          <w:color w:val="000000" w:themeColor="text1"/>
          <w:lang w:val="en-US"/>
        </w:rPr>
        <w:t xml:space="preserve"> macrophage inflammatory responses </w:t>
      </w:r>
      <w:r w:rsidR="00785113" w:rsidRPr="00004507">
        <w:rPr>
          <w:rFonts w:ascii="Arial" w:hAnsi="Arial" w:cs="Arial"/>
          <w:color w:val="000000" w:themeColor="text1"/>
          <w:lang w:val="en-US"/>
        </w:rPr>
        <w:t>[19]</w:t>
      </w:r>
      <w:r w:rsidR="00317CBB" w:rsidRPr="00004507">
        <w:rPr>
          <w:rFonts w:ascii="Arial" w:hAnsi="Arial" w:cs="Arial"/>
          <w:color w:val="000000" w:themeColor="text1"/>
          <w:lang w:val="en-US"/>
        </w:rPr>
        <w:t>.</w:t>
      </w:r>
      <w:r w:rsidR="006175EF" w:rsidRPr="00004507">
        <w:rPr>
          <w:rFonts w:ascii="Arial" w:hAnsi="Arial" w:cs="Arial"/>
          <w:color w:val="000000" w:themeColor="text1"/>
          <w:lang w:val="en-US"/>
        </w:rPr>
        <w:t xml:space="preserve"> </w:t>
      </w:r>
      <w:r w:rsidR="00182BCD" w:rsidRPr="00004507">
        <w:rPr>
          <w:rFonts w:ascii="Arial" w:hAnsi="Arial" w:cs="Arial"/>
          <w:color w:val="000000" w:themeColor="text1"/>
          <w:lang w:val="en-US"/>
        </w:rPr>
        <w:t>However, its</w:t>
      </w:r>
      <w:r w:rsidR="005A67D0" w:rsidRPr="00004507">
        <w:rPr>
          <w:rFonts w:ascii="Arial" w:hAnsi="Arial" w:cs="Arial"/>
          <w:color w:val="000000" w:themeColor="text1"/>
          <w:lang w:val="en-US"/>
        </w:rPr>
        <w:t xml:space="preserve"> a</w:t>
      </w:r>
      <w:r w:rsidR="00C338BF" w:rsidRPr="00004507">
        <w:rPr>
          <w:rFonts w:ascii="Arial" w:hAnsi="Arial" w:cs="Arial"/>
          <w:color w:val="000000" w:themeColor="text1"/>
          <w:lang w:val="en-US"/>
        </w:rPr>
        <w:t xml:space="preserve">ctivity, </w:t>
      </w:r>
      <w:r w:rsidR="005C7FFD" w:rsidRPr="00004507">
        <w:rPr>
          <w:rFonts w:ascii="Arial" w:hAnsi="Arial" w:cs="Arial"/>
          <w:color w:val="000000" w:themeColor="text1"/>
          <w:lang w:val="en-US"/>
        </w:rPr>
        <w:t>stability and expression level</w:t>
      </w:r>
      <w:r w:rsidR="009C5C64" w:rsidRPr="00004507">
        <w:rPr>
          <w:rFonts w:ascii="Arial" w:hAnsi="Arial" w:cs="Arial"/>
          <w:color w:val="000000" w:themeColor="text1"/>
          <w:lang w:val="en-US"/>
        </w:rPr>
        <w:t xml:space="preserve">s are </w:t>
      </w:r>
      <w:r w:rsidR="005C7FFD" w:rsidRPr="00004507">
        <w:rPr>
          <w:rFonts w:ascii="Arial" w:hAnsi="Arial" w:cs="Arial"/>
          <w:color w:val="000000" w:themeColor="text1"/>
          <w:lang w:val="en-US"/>
        </w:rPr>
        <w:t>affected by</w:t>
      </w:r>
      <w:r w:rsidR="00CF4C10">
        <w:rPr>
          <w:rFonts w:ascii="Arial" w:hAnsi="Arial" w:cs="Arial"/>
          <w:color w:val="000000" w:themeColor="text1"/>
          <w:lang w:val="en-US"/>
        </w:rPr>
        <w:t xml:space="preserve"> the presence in the </w:t>
      </w:r>
      <w:r w:rsidR="00CF4C10" w:rsidRPr="0002542C">
        <w:rPr>
          <w:rFonts w:ascii="Arial" w:hAnsi="Arial" w:cs="Arial"/>
          <w:i/>
          <w:color w:val="000000" w:themeColor="text1"/>
          <w:lang w:val="en-US"/>
        </w:rPr>
        <w:t>PON1</w:t>
      </w:r>
      <w:r w:rsidR="00CF4C10">
        <w:rPr>
          <w:rFonts w:ascii="Arial" w:hAnsi="Arial" w:cs="Arial"/>
          <w:color w:val="000000" w:themeColor="text1"/>
          <w:lang w:val="en-US"/>
        </w:rPr>
        <w:t xml:space="preserve"> gene of</w:t>
      </w:r>
      <w:r w:rsidR="005C7FFD" w:rsidRPr="00004507">
        <w:rPr>
          <w:rFonts w:ascii="Arial" w:hAnsi="Arial" w:cs="Arial"/>
          <w:color w:val="000000" w:themeColor="text1"/>
          <w:lang w:val="en-US"/>
        </w:rPr>
        <w:t xml:space="preserve"> </w:t>
      </w:r>
      <w:r w:rsidR="009C5C64" w:rsidRPr="00004507">
        <w:rPr>
          <w:rFonts w:ascii="Arial" w:hAnsi="Arial" w:cs="Arial"/>
          <w:color w:val="000000" w:themeColor="text1"/>
          <w:lang w:val="en-US"/>
        </w:rPr>
        <w:t>single-</w:t>
      </w:r>
      <w:r w:rsidR="00B275DB" w:rsidRPr="00795272">
        <w:rPr>
          <w:rFonts w:ascii="Arial" w:hAnsi="Arial" w:cs="Arial"/>
          <w:color w:val="000000" w:themeColor="text1"/>
          <w:lang w:val="en-US"/>
        </w:rPr>
        <w:t xml:space="preserve">nucleotide </w:t>
      </w:r>
      <w:r w:rsidR="005C7FFD" w:rsidRPr="00795272">
        <w:rPr>
          <w:rFonts w:ascii="Arial" w:hAnsi="Arial" w:cs="Arial"/>
          <w:color w:val="000000" w:themeColor="text1"/>
          <w:lang w:val="en-US"/>
        </w:rPr>
        <w:t>polymorphism</w:t>
      </w:r>
      <w:r w:rsidR="00B275DB" w:rsidRPr="00795272">
        <w:rPr>
          <w:rFonts w:ascii="Arial" w:hAnsi="Arial" w:cs="Arial"/>
          <w:color w:val="000000" w:themeColor="text1"/>
          <w:lang w:val="en-US"/>
        </w:rPr>
        <w:t>s</w:t>
      </w:r>
      <w:r w:rsidR="001879D8" w:rsidRPr="00795272">
        <w:rPr>
          <w:rFonts w:ascii="Arial" w:hAnsi="Arial" w:cs="Arial"/>
          <w:color w:val="000000" w:themeColor="text1"/>
          <w:lang w:val="en-US"/>
        </w:rPr>
        <w:t xml:space="preserve">, </w:t>
      </w:r>
      <w:r w:rsidR="00CF4C10">
        <w:rPr>
          <w:rFonts w:ascii="Arial" w:hAnsi="Arial" w:cs="Arial"/>
          <w:color w:val="000000" w:themeColor="text1"/>
          <w:lang w:val="en-US"/>
        </w:rPr>
        <w:t>which are defined as</w:t>
      </w:r>
      <w:r w:rsidR="00981512">
        <w:rPr>
          <w:rFonts w:ascii="Arial" w:hAnsi="Arial" w:cs="Arial"/>
          <w:color w:val="000000" w:themeColor="text1"/>
          <w:lang w:val="en-US"/>
        </w:rPr>
        <w:t xml:space="preserve"> </w:t>
      </w:r>
      <w:r w:rsidR="00981512" w:rsidRPr="00795272">
        <w:rPr>
          <w:rFonts w:ascii="Arial" w:hAnsi="Arial" w:cs="Arial"/>
          <w:color w:val="000000" w:themeColor="text1"/>
          <w:lang w:val="en-US"/>
        </w:rPr>
        <w:t xml:space="preserve">variants </w:t>
      </w:r>
      <w:r w:rsidR="00981512" w:rsidRPr="00795272">
        <w:rPr>
          <w:rFonts w:ascii="Arial" w:hAnsi="Arial" w:cs="Arial"/>
          <w:color w:val="1C1D1E"/>
          <w:shd w:val="clear" w:color="auto" w:fill="FFFFFF"/>
          <w:lang w:val="en-US"/>
        </w:rPr>
        <w:t>found at a frequency of 1% or higher in a population</w:t>
      </w:r>
      <w:r w:rsidR="00FE13BC" w:rsidRPr="00004507">
        <w:rPr>
          <w:rFonts w:ascii="Arial" w:hAnsi="Arial" w:cs="Arial"/>
          <w:color w:val="000000" w:themeColor="text1"/>
          <w:lang w:val="en-US"/>
        </w:rPr>
        <w:t xml:space="preserve">. The </w:t>
      </w:r>
      <w:r w:rsidR="005C7FFD" w:rsidRPr="00004507">
        <w:rPr>
          <w:rFonts w:ascii="Arial" w:hAnsi="Arial" w:cs="Arial"/>
          <w:color w:val="000000" w:themeColor="text1"/>
          <w:lang w:val="en-US"/>
        </w:rPr>
        <w:t xml:space="preserve">coding region </w:t>
      </w:r>
      <w:r w:rsidR="0002542C">
        <w:rPr>
          <w:rFonts w:ascii="Arial" w:hAnsi="Arial" w:cs="Arial"/>
          <w:color w:val="000000" w:themeColor="text1"/>
          <w:lang w:val="en-US"/>
        </w:rPr>
        <w:t>polymorphisms</w:t>
      </w:r>
      <w:r w:rsidR="001879D8" w:rsidRPr="00004507">
        <w:rPr>
          <w:rFonts w:ascii="Arial" w:hAnsi="Arial" w:cs="Arial"/>
          <w:color w:val="000000" w:themeColor="text1"/>
          <w:lang w:val="en-US"/>
        </w:rPr>
        <w:t xml:space="preserve"> </w:t>
      </w:r>
      <w:r w:rsidR="00FE13BC" w:rsidRPr="00004507">
        <w:rPr>
          <w:rFonts w:ascii="Arial" w:hAnsi="Arial" w:cs="Arial"/>
          <w:i/>
          <w:color w:val="000000" w:themeColor="text1"/>
          <w:lang w:val="en-US"/>
        </w:rPr>
        <w:t>192Q/R</w:t>
      </w:r>
      <w:r w:rsidR="00FE13BC" w:rsidRPr="00004507">
        <w:rPr>
          <w:rFonts w:ascii="Arial" w:hAnsi="Arial" w:cs="Arial"/>
          <w:color w:val="000000" w:themeColor="text1"/>
          <w:lang w:val="en-US"/>
        </w:rPr>
        <w:t xml:space="preserve"> </w:t>
      </w:r>
      <w:r w:rsidR="005C7FFD" w:rsidRPr="00004507">
        <w:rPr>
          <w:rFonts w:ascii="Arial" w:hAnsi="Arial" w:cs="Arial"/>
          <w:color w:val="000000" w:themeColor="text1"/>
          <w:lang w:val="en-US"/>
        </w:rPr>
        <w:t>(</w:t>
      </w:r>
      <w:r w:rsidR="00FE13BC" w:rsidRPr="00004507">
        <w:rPr>
          <w:rFonts w:ascii="Arial" w:hAnsi="Arial" w:cs="Arial"/>
          <w:color w:val="000000" w:themeColor="text1"/>
          <w:shd w:val="clear" w:color="auto" w:fill="FFFFFF"/>
          <w:lang w:val="en-US"/>
        </w:rPr>
        <w:t xml:space="preserve">glutamine (Q) to arginine (R) substitution at codon 192) and </w:t>
      </w:r>
      <w:r w:rsidR="005C7FFD" w:rsidRPr="00004507">
        <w:rPr>
          <w:rFonts w:ascii="Arial" w:hAnsi="Arial" w:cs="Arial"/>
          <w:i/>
          <w:color w:val="000000" w:themeColor="text1"/>
          <w:lang w:val="en-US"/>
        </w:rPr>
        <w:t>55L/M</w:t>
      </w:r>
      <w:r w:rsidR="00FE13BC" w:rsidRPr="00004507">
        <w:rPr>
          <w:rFonts w:ascii="Arial" w:hAnsi="Arial" w:cs="Arial"/>
          <w:color w:val="000000" w:themeColor="text1"/>
          <w:lang w:val="en-US"/>
        </w:rPr>
        <w:t xml:space="preserve"> (</w:t>
      </w:r>
      <w:proofErr w:type="spellStart"/>
      <w:r w:rsidR="00FE13BC" w:rsidRPr="00004507">
        <w:rPr>
          <w:rFonts w:ascii="Arial" w:hAnsi="Arial" w:cs="Arial"/>
          <w:color w:val="000000" w:themeColor="text1"/>
          <w:shd w:val="clear" w:color="auto" w:fill="FFFFFF"/>
          <w:lang w:val="en-US"/>
        </w:rPr>
        <w:t>leucine</w:t>
      </w:r>
      <w:proofErr w:type="spellEnd"/>
      <w:r w:rsidR="00FE13BC" w:rsidRPr="00004507">
        <w:rPr>
          <w:rFonts w:ascii="Arial" w:hAnsi="Arial" w:cs="Arial"/>
          <w:color w:val="000000" w:themeColor="text1"/>
          <w:shd w:val="clear" w:color="auto" w:fill="FFFFFF"/>
          <w:lang w:val="en-US"/>
        </w:rPr>
        <w:t xml:space="preserve"> (L) to methionine (M) substitution at codon 55</w:t>
      </w:r>
      <w:r w:rsidR="005C7FFD" w:rsidRPr="00004507">
        <w:rPr>
          <w:rFonts w:ascii="Arial" w:hAnsi="Arial" w:cs="Arial"/>
          <w:color w:val="000000" w:themeColor="text1"/>
          <w:lang w:val="en-US"/>
        </w:rPr>
        <w:t xml:space="preserve">) </w:t>
      </w:r>
      <w:r w:rsidR="000854A1" w:rsidRPr="00004507">
        <w:rPr>
          <w:rFonts w:ascii="Arial" w:hAnsi="Arial" w:cs="Arial"/>
          <w:color w:val="000000" w:themeColor="text1"/>
          <w:lang w:val="en-US"/>
        </w:rPr>
        <w:t xml:space="preserve">determine the </w:t>
      </w:r>
      <w:r w:rsidR="000412E3" w:rsidRPr="00004507">
        <w:rPr>
          <w:rFonts w:ascii="Arial" w:hAnsi="Arial" w:cs="Arial"/>
          <w:color w:val="000000" w:themeColor="text1"/>
          <w:lang w:val="en-US"/>
        </w:rPr>
        <w:t xml:space="preserve">PON1 </w:t>
      </w:r>
      <w:r w:rsidR="000412E3" w:rsidRPr="00004507">
        <w:rPr>
          <w:rFonts w:ascii="Arial" w:hAnsi="Arial" w:cs="Arial"/>
          <w:color w:val="000000" w:themeColor="text1"/>
          <w:shd w:val="clear" w:color="auto" w:fill="FFFFFF"/>
          <w:lang w:val="en-US"/>
        </w:rPr>
        <w:t>activity, while</w:t>
      </w:r>
      <w:r w:rsidR="000854A1" w:rsidRPr="00004507">
        <w:rPr>
          <w:rFonts w:ascii="Arial" w:hAnsi="Arial" w:cs="Arial"/>
          <w:color w:val="000000" w:themeColor="text1"/>
          <w:shd w:val="clear" w:color="auto" w:fill="FFFFFF"/>
          <w:lang w:val="en-US"/>
        </w:rPr>
        <w:t xml:space="preserve"> </w:t>
      </w:r>
      <w:r w:rsidR="005C7FFD" w:rsidRPr="00004507">
        <w:rPr>
          <w:rFonts w:ascii="Arial" w:hAnsi="Arial" w:cs="Arial"/>
          <w:color w:val="000000" w:themeColor="text1"/>
          <w:lang w:val="en-US"/>
        </w:rPr>
        <w:t xml:space="preserve">the promoter region </w:t>
      </w:r>
      <w:r w:rsidR="001879D8">
        <w:rPr>
          <w:rFonts w:ascii="Arial" w:hAnsi="Arial" w:cs="Arial"/>
          <w:color w:val="000000" w:themeColor="text1"/>
          <w:lang w:val="en-US"/>
        </w:rPr>
        <w:t>variant</w:t>
      </w:r>
      <w:r w:rsidR="001879D8" w:rsidRPr="00004507">
        <w:rPr>
          <w:rFonts w:ascii="Arial" w:hAnsi="Arial" w:cs="Arial"/>
          <w:color w:val="000000" w:themeColor="text1"/>
          <w:lang w:val="en-US"/>
        </w:rPr>
        <w:t xml:space="preserve">s </w:t>
      </w:r>
      <w:r w:rsidR="000412E3" w:rsidRPr="00004507">
        <w:rPr>
          <w:rFonts w:ascii="Arial" w:hAnsi="Arial" w:cs="Arial"/>
          <w:i/>
          <w:color w:val="000000" w:themeColor="text1"/>
          <w:lang w:val="en-US"/>
        </w:rPr>
        <w:t>−</w:t>
      </w:r>
      <w:r w:rsidR="000854A1" w:rsidRPr="00004507">
        <w:rPr>
          <w:rFonts w:ascii="Arial" w:hAnsi="Arial" w:cs="Arial"/>
          <w:i/>
          <w:color w:val="000000" w:themeColor="text1"/>
          <w:lang w:val="en-US"/>
        </w:rPr>
        <w:t>107T/C</w:t>
      </w:r>
      <w:r w:rsidR="000854A1" w:rsidRPr="00004507">
        <w:rPr>
          <w:rFonts w:ascii="Arial" w:hAnsi="Arial" w:cs="Arial"/>
          <w:color w:val="000000" w:themeColor="text1"/>
          <w:lang w:val="en-US"/>
        </w:rPr>
        <w:t xml:space="preserve"> and </w:t>
      </w:r>
      <w:r w:rsidR="000412E3" w:rsidRPr="00004507">
        <w:rPr>
          <w:rFonts w:ascii="Arial" w:hAnsi="Arial" w:cs="Arial"/>
          <w:i/>
          <w:color w:val="000000" w:themeColor="text1"/>
          <w:lang w:val="en-US"/>
        </w:rPr>
        <w:t>−</w:t>
      </w:r>
      <w:r w:rsidR="000854A1" w:rsidRPr="00004507">
        <w:rPr>
          <w:rFonts w:ascii="Arial" w:hAnsi="Arial" w:cs="Arial"/>
          <w:i/>
          <w:color w:val="000000" w:themeColor="text1"/>
          <w:lang w:val="en-US"/>
        </w:rPr>
        <w:t>162A/G</w:t>
      </w:r>
      <w:r w:rsidR="000854A1" w:rsidRPr="00004507">
        <w:rPr>
          <w:rFonts w:ascii="Arial" w:hAnsi="Arial" w:cs="Arial"/>
          <w:color w:val="000000" w:themeColor="text1"/>
          <w:lang w:val="en-US"/>
        </w:rPr>
        <w:t xml:space="preserve"> influence the </w:t>
      </w:r>
      <w:r w:rsidR="000412E3" w:rsidRPr="00004507">
        <w:rPr>
          <w:rFonts w:ascii="Arial" w:hAnsi="Arial" w:cs="Arial"/>
          <w:color w:val="000000" w:themeColor="text1"/>
          <w:shd w:val="clear" w:color="auto" w:fill="FFFFFF"/>
          <w:lang w:val="en-US"/>
        </w:rPr>
        <w:t xml:space="preserve">PON1 </w:t>
      </w:r>
      <w:r w:rsidR="000854A1" w:rsidRPr="00004507">
        <w:rPr>
          <w:rFonts w:ascii="Arial" w:hAnsi="Arial" w:cs="Arial"/>
          <w:color w:val="000000" w:themeColor="text1"/>
          <w:shd w:val="clear" w:color="auto" w:fill="FFFFFF"/>
          <w:lang w:val="en-US"/>
        </w:rPr>
        <w:t>expression level</w:t>
      </w:r>
      <w:r w:rsidR="000412E3" w:rsidRPr="00004507">
        <w:rPr>
          <w:rFonts w:ascii="Arial" w:hAnsi="Arial" w:cs="Arial"/>
          <w:color w:val="000000" w:themeColor="text1"/>
          <w:shd w:val="clear" w:color="auto" w:fill="FFFFFF"/>
          <w:lang w:val="en-US"/>
        </w:rPr>
        <w:t>s</w:t>
      </w:r>
      <w:r w:rsidR="004A0CFD" w:rsidRPr="00004507">
        <w:rPr>
          <w:rFonts w:ascii="Arial" w:hAnsi="Arial" w:cs="Arial"/>
          <w:color w:val="000000" w:themeColor="text1"/>
          <w:shd w:val="clear" w:color="auto" w:fill="FFFFFF"/>
          <w:lang w:val="en-US"/>
        </w:rPr>
        <w:t xml:space="preserve"> </w:t>
      </w:r>
      <w:r w:rsidR="00785113" w:rsidRPr="00004507">
        <w:rPr>
          <w:rFonts w:ascii="Arial" w:hAnsi="Arial" w:cs="Arial"/>
          <w:color w:val="000000" w:themeColor="text1"/>
          <w:shd w:val="clear" w:color="auto" w:fill="FFFFFF"/>
          <w:lang w:val="en-US"/>
        </w:rPr>
        <w:t>[20-22]</w:t>
      </w:r>
      <w:r w:rsidR="005C7FFD" w:rsidRPr="00004507">
        <w:rPr>
          <w:rFonts w:ascii="Arial" w:hAnsi="Arial" w:cs="Arial"/>
          <w:color w:val="000000" w:themeColor="text1"/>
          <w:lang w:val="en-US"/>
        </w:rPr>
        <w:t>.</w:t>
      </w:r>
      <w:r w:rsidR="00981512">
        <w:rPr>
          <w:rFonts w:ascii="Arial" w:hAnsi="Arial" w:cs="Arial"/>
          <w:color w:val="000000" w:themeColor="text1"/>
          <w:lang w:val="en-US"/>
        </w:rPr>
        <w:t xml:space="preserve"> </w:t>
      </w:r>
      <w:r w:rsidR="00981512" w:rsidRPr="00837CFE">
        <w:rPr>
          <w:rFonts w:ascii="Arial" w:hAnsi="Arial" w:cs="Arial"/>
          <w:color w:val="000000" w:themeColor="text1"/>
          <w:lang w:val="en-US"/>
        </w:rPr>
        <w:t xml:space="preserve">The </w:t>
      </w:r>
      <w:r w:rsidR="00981512" w:rsidRPr="00981512">
        <w:rPr>
          <w:rFonts w:eastAsia="Times-Roman"/>
          <w:i/>
          <w:lang w:val="en-US"/>
        </w:rPr>
        <w:t>–</w:t>
      </w:r>
      <w:r w:rsidR="00981512" w:rsidRPr="00837CFE">
        <w:rPr>
          <w:rFonts w:ascii="Arial" w:hAnsi="Arial" w:cs="Arial"/>
          <w:i/>
          <w:lang w:val="en-US"/>
        </w:rPr>
        <w:t>107T/C</w:t>
      </w:r>
      <w:r w:rsidR="00981512" w:rsidRPr="00837CFE">
        <w:rPr>
          <w:rFonts w:ascii="Arial" w:hAnsi="Arial" w:cs="Arial"/>
          <w:lang w:val="en-US"/>
        </w:rPr>
        <w:t xml:space="preserve"> variation</w:t>
      </w:r>
      <w:r w:rsidR="00981512">
        <w:rPr>
          <w:rFonts w:ascii="Arial" w:hAnsi="Arial" w:cs="Arial"/>
          <w:lang w:val="en-US"/>
        </w:rPr>
        <w:t xml:space="preserve"> is known as the strongest predictor of </w:t>
      </w:r>
      <w:r w:rsidR="00613A0F">
        <w:rPr>
          <w:rFonts w:ascii="Arial" w:hAnsi="Arial" w:cs="Arial"/>
          <w:lang w:val="en-US"/>
        </w:rPr>
        <w:t xml:space="preserve">the </w:t>
      </w:r>
      <w:r w:rsidR="00981512" w:rsidRPr="00837CFE">
        <w:rPr>
          <w:rFonts w:ascii="Arial" w:hAnsi="Arial" w:cs="Arial"/>
          <w:lang w:val="en-US"/>
        </w:rPr>
        <w:t xml:space="preserve">observed variability in </w:t>
      </w:r>
      <w:r w:rsidR="00981512" w:rsidRPr="00725C9C">
        <w:rPr>
          <w:rFonts w:ascii="Arial" w:hAnsi="Arial" w:cs="Arial"/>
          <w:i/>
          <w:lang w:val="en-US"/>
        </w:rPr>
        <w:t>PON1</w:t>
      </w:r>
      <w:r w:rsidR="00981512" w:rsidRPr="00837CFE">
        <w:rPr>
          <w:rFonts w:ascii="Arial" w:hAnsi="Arial" w:cs="Arial"/>
          <w:lang w:val="en-US"/>
        </w:rPr>
        <w:t xml:space="preserve"> expression levels [22].</w:t>
      </w:r>
    </w:p>
    <w:p w14:paraId="0EA7FDA8" w14:textId="2FA94C3B" w:rsidR="005C7FFD" w:rsidRPr="00004507" w:rsidRDefault="005C7FFD" w:rsidP="00C15EA2">
      <w:pPr>
        <w:spacing w:before="240" w:line="276" w:lineRule="auto"/>
        <w:jc w:val="both"/>
        <w:rPr>
          <w:rFonts w:ascii="Arial" w:hAnsi="Arial" w:cs="Arial"/>
          <w:color w:val="000000" w:themeColor="text1"/>
          <w:shd w:val="clear" w:color="auto" w:fill="FFFFFF"/>
          <w:lang w:val="en-US"/>
        </w:rPr>
      </w:pPr>
      <w:r w:rsidRPr="00837CFE">
        <w:rPr>
          <w:rFonts w:ascii="Arial" w:hAnsi="Arial" w:cs="Arial"/>
          <w:color w:val="000000" w:themeColor="text1"/>
          <w:lang w:val="en-US"/>
        </w:rPr>
        <w:t xml:space="preserve">Thus, </w:t>
      </w:r>
      <w:r w:rsidR="0060274E" w:rsidRPr="00837CFE">
        <w:rPr>
          <w:rFonts w:ascii="Arial" w:hAnsi="Arial" w:cs="Arial"/>
          <w:color w:val="000000" w:themeColor="text1"/>
          <w:lang w:val="en-US"/>
        </w:rPr>
        <w:t xml:space="preserve">PON1 </w:t>
      </w:r>
      <w:r w:rsidRPr="00837CFE">
        <w:rPr>
          <w:rFonts w:ascii="Arial" w:hAnsi="Arial" w:cs="Arial"/>
          <w:color w:val="000000" w:themeColor="text1"/>
          <w:lang w:val="en-US"/>
        </w:rPr>
        <w:t xml:space="preserve">concentration or activity </w:t>
      </w:r>
      <w:r w:rsidR="0060274E" w:rsidRPr="00837CFE">
        <w:rPr>
          <w:rFonts w:ascii="Arial" w:hAnsi="Arial" w:cs="Arial"/>
          <w:color w:val="000000" w:themeColor="text1"/>
          <w:lang w:val="en-US"/>
        </w:rPr>
        <w:t xml:space="preserve">levels </w:t>
      </w:r>
      <w:r w:rsidRPr="00837CFE">
        <w:rPr>
          <w:rFonts w:ascii="Arial" w:hAnsi="Arial" w:cs="Arial"/>
          <w:color w:val="000000" w:themeColor="text1"/>
          <w:lang w:val="en-US"/>
        </w:rPr>
        <w:t xml:space="preserve">may </w:t>
      </w:r>
      <w:r w:rsidR="0060274E" w:rsidRPr="00837CFE">
        <w:rPr>
          <w:rFonts w:ascii="Arial" w:hAnsi="Arial" w:cs="Arial"/>
          <w:color w:val="000000" w:themeColor="text1"/>
          <w:lang w:val="en-US"/>
        </w:rPr>
        <w:t xml:space="preserve">play </w:t>
      </w:r>
      <w:r w:rsidRPr="00837CFE">
        <w:rPr>
          <w:rFonts w:ascii="Arial" w:hAnsi="Arial" w:cs="Arial"/>
          <w:color w:val="000000" w:themeColor="text1"/>
          <w:lang w:val="en-US"/>
        </w:rPr>
        <w:t>a role in the pathogenesis of PEX/PEG</w:t>
      </w:r>
      <w:r w:rsidR="003C5EF8" w:rsidRPr="00837CFE">
        <w:rPr>
          <w:rFonts w:ascii="Arial" w:hAnsi="Arial" w:cs="Arial"/>
          <w:color w:val="000000" w:themeColor="text1"/>
          <w:lang w:val="en-US"/>
        </w:rPr>
        <w:t>, which several s</w:t>
      </w:r>
      <w:r w:rsidR="00657F11" w:rsidRPr="00837CFE">
        <w:rPr>
          <w:rFonts w:ascii="Arial" w:hAnsi="Arial" w:cs="Arial"/>
          <w:color w:val="000000" w:themeColor="text1"/>
          <w:lang w:val="en-US"/>
        </w:rPr>
        <w:t xml:space="preserve">tudies </w:t>
      </w:r>
      <w:r w:rsidR="00DD5904" w:rsidRPr="00837CFE">
        <w:rPr>
          <w:rFonts w:ascii="Arial" w:hAnsi="Arial" w:cs="Arial"/>
          <w:color w:val="000000" w:themeColor="text1"/>
          <w:lang w:val="en-US"/>
        </w:rPr>
        <w:t>measur</w:t>
      </w:r>
      <w:r w:rsidR="003C5EF8" w:rsidRPr="00837CFE">
        <w:rPr>
          <w:rFonts w:ascii="Arial" w:hAnsi="Arial" w:cs="Arial"/>
          <w:color w:val="000000" w:themeColor="text1"/>
          <w:lang w:val="en-US"/>
        </w:rPr>
        <w:t>ing</w:t>
      </w:r>
      <w:r w:rsidR="003C5EF8" w:rsidRPr="00004507">
        <w:rPr>
          <w:rFonts w:ascii="Arial" w:hAnsi="Arial" w:cs="Arial"/>
          <w:color w:val="000000" w:themeColor="text1"/>
          <w:lang w:val="en-US"/>
        </w:rPr>
        <w:t xml:space="preserve"> </w:t>
      </w:r>
      <w:r w:rsidR="00DD5904" w:rsidRPr="00004507">
        <w:rPr>
          <w:rFonts w:ascii="Arial" w:hAnsi="Arial" w:cs="Arial"/>
          <w:color w:val="000000" w:themeColor="text1"/>
          <w:lang w:val="en-US"/>
        </w:rPr>
        <w:t xml:space="preserve">serum PON1 activity </w:t>
      </w:r>
      <w:r w:rsidR="003C5EF8" w:rsidRPr="00004507">
        <w:rPr>
          <w:rFonts w:ascii="Arial" w:hAnsi="Arial" w:cs="Arial"/>
          <w:color w:val="000000" w:themeColor="text1"/>
          <w:lang w:val="en-US"/>
        </w:rPr>
        <w:t xml:space="preserve">have indicated </w:t>
      </w:r>
      <w:r w:rsidR="00785113" w:rsidRPr="00004507">
        <w:rPr>
          <w:rFonts w:ascii="Arial" w:hAnsi="Arial" w:cs="Arial"/>
          <w:color w:val="000000" w:themeColor="text1"/>
          <w:lang w:val="en-US"/>
        </w:rPr>
        <w:t>[10</w:t>
      </w:r>
      <w:proofErr w:type="gramStart"/>
      <w:r w:rsidR="00785113" w:rsidRPr="00004507">
        <w:rPr>
          <w:rFonts w:ascii="Arial" w:hAnsi="Arial" w:cs="Arial"/>
          <w:color w:val="000000" w:themeColor="text1"/>
          <w:lang w:val="en-US"/>
        </w:rPr>
        <w:t>,12</w:t>
      </w:r>
      <w:proofErr w:type="gramEnd"/>
      <w:r w:rsidR="00785113" w:rsidRPr="00004507">
        <w:rPr>
          <w:rFonts w:ascii="Arial" w:hAnsi="Arial" w:cs="Arial"/>
          <w:color w:val="000000" w:themeColor="text1"/>
          <w:lang w:val="en-US"/>
        </w:rPr>
        <w:t>]</w:t>
      </w:r>
      <w:r w:rsidR="008F252C" w:rsidRPr="00004507">
        <w:rPr>
          <w:rFonts w:ascii="Arial" w:hAnsi="Arial" w:cs="Arial"/>
          <w:color w:val="000000" w:themeColor="text1"/>
          <w:lang w:val="en-US"/>
        </w:rPr>
        <w:t xml:space="preserve">. </w:t>
      </w:r>
      <w:r w:rsidR="00DD5904" w:rsidRPr="00004507">
        <w:rPr>
          <w:rFonts w:ascii="Arial" w:hAnsi="Arial" w:cs="Arial"/>
          <w:color w:val="000000" w:themeColor="text1"/>
          <w:lang w:val="en-US"/>
        </w:rPr>
        <w:t xml:space="preserve">However, </w:t>
      </w:r>
      <w:r w:rsidR="008F252C" w:rsidRPr="00004507">
        <w:rPr>
          <w:rFonts w:ascii="Arial" w:hAnsi="Arial" w:cs="Arial"/>
          <w:color w:val="000000" w:themeColor="text1"/>
          <w:lang w:val="en-US"/>
        </w:rPr>
        <w:t>PON1 activity</w:t>
      </w:r>
      <w:r w:rsidR="00DD5904" w:rsidRPr="00004507">
        <w:rPr>
          <w:rFonts w:ascii="Arial" w:hAnsi="Arial" w:cs="Arial"/>
          <w:color w:val="000000" w:themeColor="text1"/>
          <w:lang w:val="en-US"/>
        </w:rPr>
        <w:t xml:space="preserve"> and expression level</w:t>
      </w:r>
      <w:r w:rsidR="00F86EF4" w:rsidRPr="00004507">
        <w:rPr>
          <w:rFonts w:ascii="Arial" w:hAnsi="Arial" w:cs="Arial"/>
          <w:color w:val="000000" w:themeColor="text1"/>
          <w:lang w:val="en-US"/>
        </w:rPr>
        <w:t>s are</w:t>
      </w:r>
      <w:r w:rsidR="008F252C" w:rsidRPr="00004507">
        <w:rPr>
          <w:rFonts w:ascii="Arial" w:hAnsi="Arial" w:cs="Arial"/>
          <w:color w:val="000000" w:themeColor="text1"/>
          <w:lang w:val="en-US"/>
        </w:rPr>
        <w:t xml:space="preserve"> </w:t>
      </w:r>
      <w:r w:rsidR="001F4CCA" w:rsidRPr="00004507">
        <w:rPr>
          <w:rFonts w:ascii="Arial" w:hAnsi="Arial" w:cs="Arial"/>
          <w:color w:val="000000" w:themeColor="text1"/>
          <w:lang w:val="en-US"/>
        </w:rPr>
        <w:t xml:space="preserve">also </w:t>
      </w:r>
      <w:r w:rsidR="008F252C" w:rsidRPr="00004507">
        <w:rPr>
          <w:rFonts w:ascii="Arial" w:hAnsi="Arial" w:cs="Arial"/>
          <w:color w:val="000000" w:themeColor="text1"/>
          <w:lang w:val="en-US"/>
        </w:rPr>
        <w:t>affected by different physiological states, lifestyle and dietary factors</w:t>
      </w:r>
      <w:r w:rsidR="00BF48C8" w:rsidRPr="00004507">
        <w:rPr>
          <w:rFonts w:ascii="Arial" w:hAnsi="Arial" w:cs="Arial"/>
          <w:color w:val="000000" w:themeColor="text1"/>
          <w:lang w:val="en-US"/>
        </w:rPr>
        <w:t xml:space="preserve">, such as </w:t>
      </w:r>
      <w:r w:rsidR="00663A48" w:rsidRPr="00004507">
        <w:rPr>
          <w:rFonts w:ascii="Arial" w:hAnsi="Arial" w:cs="Arial"/>
          <w:color w:val="000000" w:themeColor="text1"/>
          <w:lang w:val="en-US"/>
        </w:rPr>
        <w:t xml:space="preserve">smoking, alcohol consumption, </w:t>
      </w:r>
      <w:r w:rsidR="004A7060" w:rsidRPr="00004507">
        <w:rPr>
          <w:rFonts w:ascii="Arial" w:hAnsi="Arial" w:cs="Arial"/>
          <w:color w:val="000000" w:themeColor="text1"/>
          <w:shd w:val="clear" w:color="auto" w:fill="FFFFFF"/>
          <w:lang w:val="en-US"/>
        </w:rPr>
        <w:t xml:space="preserve">certain pharmaceutical drugs, </w:t>
      </w:r>
      <w:r w:rsidR="00663A48" w:rsidRPr="00004507">
        <w:rPr>
          <w:rFonts w:ascii="Arial" w:hAnsi="Arial" w:cs="Arial"/>
          <w:color w:val="000000" w:themeColor="text1"/>
          <w:lang w:val="en-US"/>
        </w:rPr>
        <w:t xml:space="preserve">dietary intake of </w:t>
      </w:r>
      <w:r w:rsidR="001F4CCA" w:rsidRPr="00004507">
        <w:rPr>
          <w:rFonts w:ascii="Arial" w:hAnsi="Arial" w:cs="Arial"/>
          <w:color w:val="000000" w:themeColor="text1"/>
          <w:lang w:val="en-US"/>
        </w:rPr>
        <w:t xml:space="preserve">bioactive compounds such as </w:t>
      </w:r>
      <w:proofErr w:type="spellStart"/>
      <w:r w:rsidR="00BF48C8" w:rsidRPr="00004507">
        <w:rPr>
          <w:rFonts w:ascii="Arial" w:hAnsi="Arial" w:cs="Arial"/>
          <w:color w:val="000000" w:themeColor="text1"/>
          <w:shd w:val="clear" w:color="auto" w:fill="FFFFFF"/>
          <w:lang w:val="en-US"/>
        </w:rPr>
        <w:t>quercetin</w:t>
      </w:r>
      <w:proofErr w:type="spellEnd"/>
      <w:r w:rsidR="00BF48C8" w:rsidRPr="00004507">
        <w:rPr>
          <w:rFonts w:ascii="Arial" w:hAnsi="Arial" w:cs="Arial"/>
          <w:color w:val="000000" w:themeColor="text1"/>
          <w:shd w:val="clear" w:color="auto" w:fill="FFFFFF"/>
          <w:lang w:val="en-US"/>
        </w:rPr>
        <w:t xml:space="preserve">, resveratrol, </w:t>
      </w:r>
      <w:proofErr w:type="spellStart"/>
      <w:r w:rsidR="00BF48C8" w:rsidRPr="00004507">
        <w:rPr>
          <w:rFonts w:ascii="Arial" w:hAnsi="Arial" w:cs="Arial"/>
          <w:color w:val="000000" w:themeColor="text1"/>
          <w:shd w:val="clear" w:color="auto" w:fill="FFFFFF"/>
          <w:lang w:val="en-US"/>
        </w:rPr>
        <w:t>curcumin</w:t>
      </w:r>
      <w:proofErr w:type="spellEnd"/>
      <w:r w:rsidR="00BF48C8" w:rsidRPr="00004507">
        <w:rPr>
          <w:rFonts w:ascii="Arial" w:hAnsi="Arial" w:cs="Arial"/>
          <w:color w:val="000000" w:themeColor="text1"/>
          <w:shd w:val="clear" w:color="auto" w:fill="FFFFFF"/>
          <w:lang w:val="en-US"/>
        </w:rPr>
        <w:t xml:space="preserve">, </w:t>
      </w:r>
      <w:proofErr w:type="spellStart"/>
      <w:r w:rsidR="00BF48C8" w:rsidRPr="00004507">
        <w:rPr>
          <w:rFonts w:ascii="Arial" w:hAnsi="Arial" w:cs="Arial"/>
          <w:color w:val="000000" w:themeColor="text1"/>
          <w:shd w:val="clear" w:color="auto" w:fill="FFFFFF"/>
          <w:lang w:val="en-US"/>
        </w:rPr>
        <w:t>betanin</w:t>
      </w:r>
      <w:proofErr w:type="spellEnd"/>
      <w:r w:rsidR="00BF48C8" w:rsidRPr="00004507">
        <w:rPr>
          <w:rFonts w:ascii="Arial" w:hAnsi="Arial" w:cs="Arial"/>
          <w:color w:val="000000" w:themeColor="text1"/>
          <w:shd w:val="clear" w:color="auto" w:fill="FFFFFF"/>
          <w:lang w:val="en-US"/>
        </w:rPr>
        <w:t xml:space="preserve">, </w:t>
      </w:r>
      <w:proofErr w:type="spellStart"/>
      <w:r w:rsidR="00BF48C8" w:rsidRPr="00004507">
        <w:rPr>
          <w:rFonts w:ascii="Arial" w:hAnsi="Arial" w:cs="Arial"/>
          <w:color w:val="000000" w:themeColor="text1"/>
          <w:shd w:val="clear" w:color="auto" w:fill="FFFFFF"/>
          <w:lang w:val="en-US"/>
        </w:rPr>
        <w:t>isothiocyanates</w:t>
      </w:r>
      <w:proofErr w:type="spellEnd"/>
      <w:r w:rsidR="007D2486" w:rsidRPr="00004507">
        <w:rPr>
          <w:rFonts w:ascii="Arial" w:hAnsi="Arial" w:cs="Arial"/>
          <w:color w:val="000000" w:themeColor="text1"/>
          <w:shd w:val="clear" w:color="auto" w:fill="FFFFFF"/>
          <w:lang w:val="en-US"/>
        </w:rPr>
        <w:t xml:space="preserve">, </w:t>
      </w:r>
      <w:r w:rsidR="00BF48C8" w:rsidRPr="00004507">
        <w:rPr>
          <w:rFonts w:ascii="Arial" w:hAnsi="Arial" w:cs="Arial"/>
          <w:color w:val="000000" w:themeColor="text1"/>
          <w:shd w:val="clear" w:color="auto" w:fill="FFFFFF"/>
          <w:lang w:val="en-US"/>
        </w:rPr>
        <w:t>olive oil</w:t>
      </w:r>
      <w:r w:rsidR="007D2486" w:rsidRPr="00004507">
        <w:rPr>
          <w:rFonts w:ascii="Arial" w:hAnsi="Arial" w:cs="Arial"/>
          <w:color w:val="000000" w:themeColor="text1"/>
          <w:shd w:val="clear" w:color="auto" w:fill="FFFFFF"/>
          <w:lang w:val="en-US"/>
        </w:rPr>
        <w:t xml:space="preserve"> and pomegranate juice</w:t>
      </w:r>
      <w:r w:rsidR="00BF48C8" w:rsidRPr="00004507">
        <w:rPr>
          <w:rFonts w:ascii="Arial" w:hAnsi="Arial" w:cs="Arial"/>
          <w:color w:val="000000" w:themeColor="text1"/>
          <w:shd w:val="clear" w:color="auto" w:fill="FFFFFF"/>
          <w:lang w:val="en-US"/>
        </w:rPr>
        <w:t> </w:t>
      </w:r>
      <w:r w:rsidR="00236724" w:rsidRPr="00004507">
        <w:rPr>
          <w:rFonts w:ascii="Arial" w:hAnsi="Arial" w:cs="Arial"/>
          <w:color w:val="000000" w:themeColor="text1"/>
          <w:shd w:val="clear" w:color="auto" w:fill="FFFFFF"/>
          <w:lang w:val="en-US"/>
        </w:rPr>
        <w:t>[23-28]</w:t>
      </w:r>
      <w:r w:rsidR="00BF48C8" w:rsidRPr="00004507">
        <w:rPr>
          <w:rFonts w:ascii="Arial" w:hAnsi="Arial" w:cs="Arial"/>
          <w:color w:val="000000" w:themeColor="text1"/>
          <w:shd w:val="clear" w:color="auto" w:fill="FFFFFF"/>
          <w:lang w:val="en-US"/>
        </w:rPr>
        <w:t>.</w:t>
      </w:r>
      <w:r w:rsidR="00321CC9" w:rsidRPr="00004507">
        <w:rPr>
          <w:rFonts w:ascii="Arial" w:hAnsi="Arial" w:cs="Arial"/>
          <w:color w:val="000000" w:themeColor="text1"/>
          <w:shd w:val="clear" w:color="auto" w:fill="FFFFFF"/>
          <w:lang w:val="en-US"/>
        </w:rPr>
        <w:t xml:space="preserve"> </w:t>
      </w:r>
      <w:r w:rsidR="00E14441" w:rsidRPr="00004507">
        <w:rPr>
          <w:rFonts w:ascii="Arial" w:hAnsi="Arial" w:cs="Arial"/>
          <w:color w:val="000000" w:themeColor="text1"/>
          <w:shd w:val="clear" w:color="auto" w:fill="FFFFFF"/>
          <w:lang w:val="en-US"/>
        </w:rPr>
        <w:t xml:space="preserve">As </w:t>
      </w:r>
      <w:r w:rsidRPr="00004507">
        <w:rPr>
          <w:rFonts w:ascii="Arial" w:hAnsi="Arial" w:cs="Arial"/>
          <w:color w:val="000000" w:themeColor="text1"/>
          <w:shd w:val="clear" w:color="auto" w:fill="FFFFFF"/>
          <w:lang w:val="en-US"/>
        </w:rPr>
        <w:t xml:space="preserve">genetic </w:t>
      </w:r>
      <w:r w:rsidR="001879D8">
        <w:rPr>
          <w:rFonts w:ascii="Arial" w:hAnsi="Arial" w:cs="Arial"/>
          <w:color w:val="000000" w:themeColor="text1"/>
          <w:shd w:val="clear" w:color="auto" w:fill="FFFFFF"/>
          <w:lang w:val="en-US"/>
        </w:rPr>
        <w:t>alterations</w:t>
      </w:r>
      <w:r w:rsidRPr="00004507">
        <w:rPr>
          <w:rFonts w:ascii="Arial" w:hAnsi="Arial" w:cs="Arial"/>
          <w:color w:val="000000" w:themeColor="text1"/>
          <w:shd w:val="clear" w:color="auto" w:fill="FFFFFF"/>
          <w:lang w:val="en-US"/>
        </w:rPr>
        <w:t xml:space="preserve"> are not affected by such factors</w:t>
      </w:r>
      <w:r w:rsidR="00E14441" w:rsidRPr="00004507">
        <w:rPr>
          <w:rFonts w:ascii="Arial" w:hAnsi="Arial" w:cs="Arial"/>
          <w:color w:val="000000" w:themeColor="text1"/>
          <w:shd w:val="clear" w:color="auto" w:fill="FFFFFF"/>
          <w:lang w:val="en-US"/>
        </w:rPr>
        <w:t>, they</w:t>
      </w:r>
      <w:r w:rsidR="00093823" w:rsidRPr="00004507">
        <w:rPr>
          <w:rFonts w:ascii="Arial" w:hAnsi="Arial" w:cs="Arial"/>
          <w:color w:val="000000" w:themeColor="text1"/>
          <w:shd w:val="clear" w:color="auto" w:fill="FFFFFF"/>
          <w:lang w:val="en-US"/>
        </w:rPr>
        <w:t xml:space="preserve"> can </w:t>
      </w:r>
      <w:r w:rsidR="00E14441" w:rsidRPr="00004507">
        <w:rPr>
          <w:rFonts w:ascii="Arial" w:hAnsi="Arial" w:cs="Arial"/>
          <w:color w:val="000000" w:themeColor="text1"/>
          <w:shd w:val="clear" w:color="auto" w:fill="FFFFFF"/>
          <w:lang w:val="en-US"/>
        </w:rPr>
        <w:t xml:space="preserve">serve as better candidates for reliable </w:t>
      </w:r>
      <w:r w:rsidR="00093823" w:rsidRPr="00004507">
        <w:rPr>
          <w:rFonts w:ascii="Arial" w:hAnsi="Arial" w:cs="Arial"/>
          <w:color w:val="000000" w:themeColor="text1"/>
          <w:shd w:val="clear" w:color="auto" w:fill="FFFFFF"/>
          <w:lang w:val="en-US"/>
        </w:rPr>
        <w:t>biomarkers</w:t>
      </w:r>
      <w:r w:rsidR="00E14441" w:rsidRPr="00004507">
        <w:rPr>
          <w:rFonts w:ascii="Arial" w:hAnsi="Arial" w:cs="Arial"/>
          <w:color w:val="000000" w:themeColor="text1"/>
          <w:shd w:val="clear" w:color="auto" w:fill="FFFFFF"/>
          <w:lang w:val="en-US"/>
        </w:rPr>
        <w:t xml:space="preserve">; however, </w:t>
      </w:r>
      <w:r w:rsidR="00093823" w:rsidRPr="00004507">
        <w:rPr>
          <w:rFonts w:ascii="Arial" w:hAnsi="Arial" w:cs="Arial"/>
          <w:i/>
          <w:color w:val="000000" w:themeColor="text1"/>
          <w:lang w:val="en-US"/>
        </w:rPr>
        <w:t>PON1</w:t>
      </w:r>
      <w:r w:rsidR="00093823" w:rsidRPr="00004507">
        <w:rPr>
          <w:rFonts w:ascii="Arial" w:hAnsi="Arial" w:cs="Arial"/>
          <w:color w:val="000000" w:themeColor="text1"/>
          <w:lang w:val="en-US"/>
        </w:rPr>
        <w:t xml:space="preserve"> </w:t>
      </w:r>
      <w:r w:rsidR="004857C5">
        <w:rPr>
          <w:rFonts w:ascii="Arial" w:hAnsi="Arial" w:cs="Arial"/>
          <w:color w:val="000000" w:themeColor="text1"/>
          <w:lang w:val="en-US"/>
        </w:rPr>
        <w:t>variations</w:t>
      </w:r>
      <w:r w:rsidR="004857C5" w:rsidRPr="00004507">
        <w:rPr>
          <w:rFonts w:ascii="Arial" w:hAnsi="Arial" w:cs="Arial"/>
          <w:color w:val="000000" w:themeColor="text1"/>
          <w:lang w:val="en-US"/>
        </w:rPr>
        <w:t xml:space="preserve"> </w:t>
      </w:r>
      <w:r w:rsidR="00093823" w:rsidRPr="00004507">
        <w:rPr>
          <w:rFonts w:ascii="Arial" w:hAnsi="Arial" w:cs="Arial"/>
          <w:color w:val="000000" w:themeColor="text1"/>
          <w:lang w:val="en-US"/>
        </w:rPr>
        <w:t xml:space="preserve">have not been </w:t>
      </w:r>
      <w:r w:rsidR="00F565DF" w:rsidRPr="00004507">
        <w:rPr>
          <w:rFonts w:ascii="Arial" w:hAnsi="Arial" w:cs="Arial"/>
          <w:color w:val="000000" w:themeColor="text1"/>
          <w:lang w:val="en-US"/>
        </w:rPr>
        <w:t xml:space="preserve">previously </w:t>
      </w:r>
      <w:r w:rsidR="00093823" w:rsidRPr="00004507">
        <w:rPr>
          <w:rFonts w:ascii="Arial" w:hAnsi="Arial" w:cs="Arial"/>
          <w:color w:val="000000" w:themeColor="text1"/>
          <w:lang w:val="en-US"/>
        </w:rPr>
        <w:t xml:space="preserve">studied in PEX/PEG patients. </w:t>
      </w:r>
    </w:p>
    <w:p w14:paraId="2257732F" w14:textId="6FB6F11C" w:rsidR="00C2720E" w:rsidRPr="00004507" w:rsidRDefault="00603473" w:rsidP="00C15EA2">
      <w:pPr>
        <w:autoSpaceDE w:val="0"/>
        <w:autoSpaceDN w:val="0"/>
        <w:adjustRightInd w:val="0"/>
        <w:spacing w:after="0" w:line="276" w:lineRule="auto"/>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lastRenderedPageBreak/>
        <w:t>The worldwide prev</w:t>
      </w:r>
      <w:r w:rsidR="006F068B" w:rsidRPr="00004507">
        <w:rPr>
          <w:rFonts w:ascii="Arial" w:hAnsi="Arial" w:cs="Arial"/>
          <w:color w:val="000000" w:themeColor="text1"/>
          <w:shd w:val="clear" w:color="auto" w:fill="FFFFFF"/>
          <w:lang w:val="en-US"/>
        </w:rPr>
        <w:t xml:space="preserve">alence of PEX </w:t>
      </w:r>
      <w:r w:rsidR="00053AA5" w:rsidRPr="00004507">
        <w:rPr>
          <w:rFonts w:ascii="Arial" w:hAnsi="Arial" w:cs="Arial"/>
          <w:color w:val="000000" w:themeColor="text1"/>
          <w:shd w:val="clear" w:color="auto" w:fill="FFFFFF"/>
          <w:lang w:val="en-US"/>
        </w:rPr>
        <w:t>is 10–</w:t>
      </w:r>
      <w:r w:rsidRPr="00004507">
        <w:rPr>
          <w:rFonts w:ascii="Arial" w:hAnsi="Arial" w:cs="Arial"/>
          <w:color w:val="000000" w:themeColor="text1"/>
          <w:shd w:val="clear" w:color="auto" w:fill="FFFFFF"/>
          <w:lang w:val="en-US"/>
        </w:rPr>
        <w:t xml:space="preserve">20% in individuals over 60 years </w:t>
      </w:r>
      <w:r w:rsidR="00844227" w:rsidRPr="00004507">
        <w:rPr>
          <w:rFonts w:ascii="Arial" w:hAnsi="Arial" w:cs="Arial"/>
          <w:color w:val="000000" w:themeColor="text1"/>
          <w:shd w:val="clear" w:color="auto" w:fill="FFFFFF"/>
          <w:lang w:val="en-US"/>
        </w:rPr>
        <w:t>old</w:t>
      </w:r>
      <w:r w:rsidRPr="00004507">
        <w:rPr>
          <w:rFonts w:ascii="Arial" w:hAnsi="Arial" w:cs="Arial"/>
          <w:color w:val="000000" w:themeColor="text1"/>
          <w:shd w:val="clear" w:color="auto" w:fill="FFFFFF"/>
          <w:lang w:val="en-US"/>
        </w:rPr>
        <w:t xml:space="preserve"> </w:t>
      </w:r>
      <w:r w:rsidR="00A84CC1" w:rsidRPr="00004507">
        <w:rPr>
          <w:rFonts w:ascii="Arial" w:hAnsi="Arial" w:cs="Arial"/>
          <w:color w:val="000000" w:themeColor="text1"/>
          <w:shd w:val="clear" w:color="auto" w:fill="FFFFFF"/>
          <w:lang w:val="en-US"/>
        </w:rPr>
        <w:t>[29]</w:t>
      </w:r>
      <w:r w:rsidRPr="00004507">
        <w:rPr>
          <w:rFonts w:ascii="Arial" w:hAnsi="Arial" w:cs="Arial"/>
          <w:color w:val="000000" w:themeColor="text1"/>
          <w:shd w:val="clear" w:color="auto" w:fill="FFFFFF"/>
          <w:lang w:val="en-US"/>
        </w:rPr>
        <w:t>. Considering th</w:t>
      </w:r>
      <w:r w:rsidR="00053AA5" w:rsidRPr="00004507">
        <w:rPr>
          <w:rFonts w:ascii="Arial" w:hAnsi="Arial" w:cs="Arial"/>
          <w:color w:val="000000" w:themeColor="text1"/>
          <w:shd w:val="clear" w:color="auto" w:fill="FFFFFF"/>
          <w:lang w:val="en-US"/>
        </w:rPr>
        <w:t>at</w:t>
      </w:r>
      <w:r w:rsidR="00685A27" w:rsidRPr="00004507">
        <w:rPr>
          <w:rFonts w:ascii="Arial" w:hAnsi="Arial" w:cs="Arial"/>
          <w:color w:val="000000" w:themeColor="text1"/>
          <w:shd w:val="clear" w:color="auto" w:fill="FFFFFF"/>
          <w:lang w:val="en-US"/>
        </w:rPr>
        <w:t xml:space="preserve"> average life expectancy has been </w:t>
      </w:r>
      <w:r w:rsidRPr="00004507">
        <w:rPr>
          <w:rFonts w:ascii="Arial" w:hAnsi="Arial" w:cs="Arial"/>
          <w:color w:val="000000" w:themeColor="text1"/>
          <w:shd w:val="clear" w:color="auto" w:fill="FFFFFF"/>
          <w:lang w:val="en-US"/>
        </w:rPr>
        <w:t>increasing</w:t>
      </w:r>
      <w:r w:rsidR="00685A27" w:rsidRPr="00004507">
        <w:rPr>
          <w:rFonts w:ascii="Arial" w:hAnsi="Arial" w:cs="Arial"/>
          <w:color w:val="000000" w:themeColor="text1"/>
          <w:shd w:val="clear" w:color="auto" w:fill="FFFFFF"/>
          <w:lang w:val="en-US"/>
        </w:rPr>
        <w:t xml:space="preserve"> globally</w:t>
      </w:r>
      <w:r w:rsidRPr="00004507">
        <w:rPr>
          <w:rFonts w:ascii="Arial" w:hAnsi="Arial" w:cs="Arial"/>
          <w:color w:val="000000" w:themeColor="text1"/>
          <w:shd w:val="clear" w:color="auto" w:fill="FFFFFF"/>
          <w:lang w:val="en-US"/>
        </w:rPr>
        <w:t xml:space="preserve">, </w:t>
      </w:r>
      <w:r w:rsidR="00053AA5" w:rsidRPr="00004507">
        <w:rPr>
          <w:rFonts w:ascii="Arial" w:hAnsi="Arial" w:cs="Arial"/>
          <w:color w:val="000000" w:themeColor="text1"/>
          <w:shd w:val="clear" w:color="auto" w:fill="FFFFFF"/>
          <w:lang w:val="en-US"/>
        </w:rPr>
        <w:t xml:space="preserve">an informed prediction can be made </w:t>
      </w:r>
      <w:r w:rsidRPr="00004507">
        <w:rPr>
          <w:rFonts w:ascii="Arial" w:hAnsi="Arial" w:cs="Arial"/>
          <w:color w:val="000000" w:themeColor="text1"/>
          <w:shd w:val="clear" w:color="auto" w:fill="FFFFFF"/>
          <w:lang w:val="en-US"/>
        </w:rPr>
        <w:t xml:space="preserve">that PEX and PEG will be much more </w:t>
      </w:r>
      <w:r w:rsidR="00D06DCC" w:rsidRPr="00004507">
        <w:rPr>
          <w:rFonts w:ascii="Arial" w:hAnsi="Arial" w:cs="Arial"/>
          <w:color w:val="000000" w:themeColor="text1"/>
          <w:shd w:val="clear" w:color="auto" w:fill="FFFFFF"/>
          <w:lang w:val="en-US"/>
        </w:rPr>
        <w:t>prevalent</w:t>
      </w:r>
      <w:r w:rsidRPr="00004507">
        <w:rPr>
          <w:rFonts w:ascii="Arial" w:hAnsi="Arial" w:cs="Arial"/>
          <w:color w:val="000000" w:themeColor="text1"/>
          <w:shd w:val="clear" w:color="auto" w:fill="FFFFFF"/>
          <w:lang w:val="en-US"/>
        </w:rPr>
        <w:t xml:space="preserve"> in the future.</w:t>
      </w:r>
      <w:r w:rsidR="00053AA5" w:rsidRPr="00004507">
        <w:rPr>
          <w:rFonts w:ascii="Arial" w:hAnsi="Arial" w:cs="Arial"/>
          <w:color w:val="000000" w:themeColor="text1"/>
          <w:shd w:val="clear" w:color="auto" w:fill="FFFFFF"/>
          <w:lang w:val="en-US"/>
        </w:rPr>
        <w:t xml:space="preserve"> </w:t>
      </w:r>
      <w:r w:rsidR="00B564A3" w:rsidRPr="00004507">
        <w:rPr>
          <w:rFonts w:ascii="Arial" w:hAnsi="Arial" w:cs="Arial"/>
          <w:color w:val="000000" w:themeColor="text1"/>
          <w:lang w:val="en-US"/>
        </w:rPr>
        <w:t xml:space="preserve">Therefore, </w:t>
      </w:r>
      <w:r w:rsidR="004E302B" w:rsidRPr="00004507">
        <w:rPr>
          <w:rFonts w:ascii="Arial" w:hAnsi="Arial" w:cs="Arial"/>
          <w:color w:val="000000" w:themeColor="text1"/>
          <w:lang w:val="en-US"/>
        </w:rPr>
        <w:t xml:space="preserve">in an effort to </w:t>
      </w:r>
      <w:r w:rsidR="00053AA5" w:rsidRPr="00004507">
        <w:rPr>
          <w:rFonts w:ascii="Arial" w:hAnsi="Arial" w:cs="Arial"/>
          <w:color w:val="000000" w:themeColor="text1"/>
          <w:lang w:val="en-US"/>
        </w:rPr>
        <w:t>identify</w:t>
      </w:r>
      <w:r w:rsidR="004E302B" w:rsidRPr="00004507">
        <w:rPr>
          <w:rFonts w:ascii="Arial" w:hAnsi="Arial" w:cs="Arial"/>
          <w:color w:val="000000" w:themeColor="text1"/>
          <w:lang w:val="en-US"/>
        </w:rPr>
        <w:t xml:space="preserve"> objective biomarkers for</w:t>
      </w:r>
      <w:r w:rsidR="00053AA5" w:rsidRPr="00004507">
        <w:rPr>
          <w:rFonts w:ascii="Arial" w:hAnsi="Arial" w:cs="Arial"/>
          <w:color w:val="000000" w:themeColor="text1"/>
          <w:lang w:val="en-US"/>
        </w:rPr>
        <w:t xml:space="preserve"> the</w:t>
      </w:r>
      <w:r w:rsidR="004E302B" w:rsidRPr="00004507">
        <w:rPr>
          <w:rFonts w:ascii="Arial" w:hAnsi="Arial" w:cs="Arial"/>
          <w:color w:val="000000" w:themeColor="text1"/>
          <w:lang w:val="en-US"/>
        </w:rPr>
        <w:t xml:space="preserve"> early detection of PEX and PEG, this study aimed </w:t>
      </w:r>
      <w:r w:rsidR="00FC44EE" w:rsidRPr="00004507">
        <w:rPr>
          <w:rFonts w:ascii="Arial" w:hAnsi="Arial" w:cs="Arial"/>
          <w:color w:val="000000" w:themeColor="text1"/>
          <w:lang w:val="en-US"/>
        </w:rPr>
        <w:t>to evaluate</w:t>
      </w:r>
      <w:r w:rsidR="00C2720E" w:rsidRPr="00004507">
        <w:rPr>
          <w:rFonts w:ascii="Arial" w:hAnsi="Arial" w:cs="Arial"/>
          <w:color w:val="000000" w:themeColor="text1"/>
          <w:lang w:val="en-US"/>
        </w:rPr>
        <w:t xml:space="preserve"> the </w:t>
      </w:r>
      <w:r w:rsidR="004E302B" w:rsidRPr="00004507">
        <w:rPr>
          <w:rFonts w:ascii="Arial" w:hAnsi="Arial" w:cs="Arial"/>
          <w:color w:val="000000" w:themeColor="text1"/>
          <w:lang w:val="en-US"/>
        </w:rPr>
        <w:t>association of</w:t>
      </w:r>
      <w:r w:rsidR="00A84E7C" w:rsidRPr="00004507">
        <w:rPr>
          <w:rFonts w:ascii="Arial" w:hAnsi="Arial" w:cs="Arial"/>
          <w:color w:val="000000" w:themeColor="text1"/>
          <w:lang w:val="en-US"/>
        </w:rPr>
        <w:t xml:space="preserve"> the</w:t>
      </w:r>
      <w:r w:rsidR="004E302B" w:rsidRPr="00004507">
        <w:rPr>
          <w:rFonts w:ascii="Arial" w:hAnsi="Arial" w:cs="Arial"/>
          <w:color w:val="000000" w:themeColor="text1"/>
          <w:lang w:val="en-US"/>
        </w:rPr>
        <w:t xml:space="preserve"> </w:t>
      </w:r>
      <w:r w:rsidR="00C2720E" w:rsidRPr="00004507">
        <w:rPr>
          <w:rFonts w:ascii="Arial" w:hAnsi="Arial" w:cs="Arial"/>
          <w:i/>
          <w:color w:val="000000" w:themeColor="text1"/>
          <w:lang w:val="en-US"/>
        </w:rPr>
        <w:t>PON1</w:t>
      </w:r>
      <w:r w:rsidR="00DF7EC9" w:rsidRPr="00004507">
        <w:rPr>
          <w:rFonts w:ascii="Arial" w:hAnsi="Arial" w:cs="Arial"/>
          <w:i/>
          <w:color w:val="000000" w:themeColor="text1"/>
          <w:lang w:val="en-US"/>
        </w:rPr>
        <w:t xml:space="preserve"> </w:t>
      </w:r>
      <w:r w:rsidR="00DF7EC9" w:rsidRPr="00004507">
        <w:rPr>
          <w:rFonts w:ascii="Arial" w:hAnsi="Arial" w:cs="Arial"/>
          <w:color w:val="000000" w:themeColor="text1"/>
          <w:lang w:val="en-US"/>
        </w:rPr>
        <w:t>promoter</w:t>
      </w:r>
      <w:r w:rsidR="00A84E7C" w:rsidRPr="00004507">
        <w:rPr>
          <w:rFonts w:ascii="Arial" w:hAnsi="Arial" w:cs="Arial"/>
          <w:color w:val="000000" w:themeColor="text1"/>
          <w:lang w:val="en-US"/>
        </w:rPr>
        <w:t xml:space="preserve"> region </w:t>
      </w:r>
      <w:r w:rsidR="001879D8">
        <w:rPr>
          <w:rFonts w:ascii="Arial" w:hAnsi="Arial" w:cs="Arial"/>
          <w:color w:val="000000" w:themeColor="text1"/>
          <w:lang w:val="en-US"/>
        </w:rPr>
        <w:t>variant</w:t>
      </w:r>
      <w:r w:rsidR="001879D8" w:rsidRPr="00004507">
        <w:rPr>
          <w:rFonts w:ascii="Arial" w:hAnsi="Arial" w:cs="Arial"/>
          <w:color w:val="000000" w:themeColor="text1"/>
          <w:lang w:val="en-US"/>
        </w:rPr>
        <w:t xml:space="preserve"> </w:t>
      </w:r>
      <w:r w:rsidR="00DF7EC9" w:rsidRPr="00004507">
        <w:rPr>
          <w:rFonts w:ascii="Arial" w:hAnsi="Arial" w:cs="Arial"/>
          <w:i/>
          <w:color w:val="000000" w:themeColor="text1"/>
          <w:lang w:val="en-US"/>
        </w:rPr>
        <w:t>-107T/C</w:t>
      </w:r>
      <w:r w:rsidR="00DF7EC9" w:rsidRPr="00004507">
        <w:rPr>
          <w:rFonts w:ascii="Arial" w:hAnsi="Arial" w:cs="Arial"/>
          <w:color w:val="000000" w:themeColor="text1"/>
          <w:lang w:val="en-US"/>
        </w:rPr>
        <w:t xml:space="preserve"> (</w:t>
      </w:r>
      <w:r w:rsidR="00DF7EC9" w:rsidRPr="00004507">
        <w:rPr>
          <w:rFonts w:ascii="Arial" w:hAnsi="Arial" w:cs="Arial"/>
          <w:i/>
          <w:color w:val="000000" w:themeColor="text1"/>
          <w:lang w:val="en-US"/>
        </w:rPr>
        <w:t>rs</w:t>
      </w:r>
      <w:r w:rsidR="00DF7EC9" w:rsidRPr="00004507">
        <w:rPr>
          <w:rFonts w:ascii="Arial" w:hAnsi="Arial" w:cs="Arial"/>
          <w:i/>
          <w:color w:val="000000" w:themeColor="text1"/>
          <w:shd w:val="clear" w:color="auto" w:fill="FFFFFF"/>
          <w:lang w:val="en-US"/>
        </w:rPr>
        <w:t>705379</w:t>
      </w:r>
      <w:r w:rsidR="00DF7EC9" w:rsidRPr="00004507">
        <w:rPr>
          <w:rFonts w:ascii="Arial" w:hAnsi="Arial" w:cs="Arial"/>
          <w:color w:val="000000" w:themeColor="text1"/>
          <w:lang w:val="en-US"/>
        </w:rPr>
        <w:t xml:space="preserve">) and coding region </w:t>
      </w:r>
      <w:r w:rsidR="00B50DE4">
        <w:rPr>
          <w:rFonts w:ascii="Arial" w:hAnsi="Arial" w:cs="Arial"/>
          <w:color w:val="000000" w:themeColor="text1"/>
          <w:lang w:val="en-US"/>
        </w:rPr>
        <w:t xml:space="preserve">alterations </w:t>
      </w:r>
      <w:r w:rsidR="00C2720E" w:rsidRPr="00004507">
        <w:rPr>
          <w:rFonts w:ascii="Arial" w:hAnsi="Arial" w:cs="Arial"/>
          <w:i/>
          <w:color w:val="000000" w:themeColor="text1"/>
          <w:lang w:val="en-US"/>
        </w:rPr>
        <w:t>192Q/R</w:t>
      </w:r>
      <w:r w:rsidR="00C2720E" w:rsidRPr="00004507">
        <w:rPr>
          <w:rFonts w:ascii="Arial" w:hAnsi="Arial" w:cs="Arial"/>
          <w:color w:val="000000" w:themeColor="text1"/>
          <w:lang w:val="en-US"/>
        </w:rPr>
        <w:t xml:space="preserve"> (</w:t>
      </w:r>
      <w:r w:rsidR="00C2720E" w:rsidRPr="00004507">
        <w:rPr>
          <w:rFonts w:ascii="Arial" w:hAnsi="Arial" w:cs="Arial"/>
          <w:i/>
          <w:color w:val="000000" w:themeColor="text1"/>
          <w:lang w:val="en-US"/>
        </w:rPr>
        <w:t>rs662</w:t>
      </w:r>
      <w:r w:rsidR="00C2720E" w:rsidRPr="00004507">
        <w:rPr>
          <w:rFonts w:ascii="Arial" w:hAnsi="Arial" w:cs="Arial"/>
          <w:color w:val="000000" w:themeColor="text1"/>
          <w:lang w:val="en-US"/>
        </w:rPr>
        <w:t>)</w:t>
      </w:r>
      <w:r w:rsidR="00B275DB" w:rsidRPr="00004507">
        <w:rPr>
          <w:rFonts w:ascii="Arial" w:hAnsi="Arial" w:cs="Arial"/>
          <w:color w:val="000000" w:themeColor="text1"/>
          <w:lang w:val="en-US"/>
        </w:rPr>
        <w:t xml:space="preserve"> and </w:t>
      </w:r>
      <w:r w:rsidR="002409DD" w:rsidRPr="00004507">
        <w:rPr>
          <w:rFonts w:ascii="Arial" w:hAnsi="Arial" w:cs="Arial"/>
          <w:i/>
          <w:color w:val="000000" w:themeColor="text1"/>
          <w:lang w:val="en-US"/>
        </w:rPr>
        <w:t>55L/M</w:t>
      </w:r>
      <w:r w:rsidR="002409DD" w:rsidRPr="00004507">
        <w:rPr>
          <w:rFonts w:ascii="Arial" w:hAnsi="Arial" w:cs="Arial"/>
          <w:color w:val="000000" w:themeColor="text1"/>
          <w:lang w:val="en-US"/>
        </w:rPr>
        <w:t xml:space="preserve"> (</w:t>
      </w:r>
      <w:r w:rsidR="002409DD" w:rsidRPr="00004507">
        <w:rPr>
          <w:rFonts w:ascii="Arial" w:hAnsi="Arial" w:cs="Arial"/>
          <w:i/>
          <w:color w:val="000000" w:themeColor="text1"/>
          <w:lang w:val="en-US"/>
        </w:rPr>
        <w:t>rs8545</w:t>
      </w:r>
      <w:r w:rsidR="00C2720E" w:rsidRPr="00004507">
        <w:rPr>
          <w:rFonts w:ascii="Arial" w:hAnsi="Arial" w:cs="Arial"/>
          <w:i/>
          <w:color w:val="000000" w:themeColor="text1"/>
          <w:lang w:val="en-US"/>
        </w:rPr>
        <w:t>6</w:t>
      </w:r>
      <w:r w:rsidR="00C2720E" w:rsidRPr="00004507">
        <w:rPr>
          <w:rFonts w:ascii="Arial" w:hAnsi="Arial" w:cs="Arial"/>
          <w:color w:val="000000" w:themeColor="text1"/>
          <w:lang w:val="en-US"/>
        </w:rPr>
        <w:t xml:space="preserve">0) </w:t>
      </w:r>
      <w:r w:rsidR="004E302B" w:rsidRPr="00004507">
        <w:rPr>
          <w:rFonts w:ascii="Arial" w:hAnsi="Arial" w:cs="Arial"/>
          <w:color w:val="000000" w:themeColor="text1"/>
          <w:lang w:val="en-US"/>
        </w:rPr>
        <w:t>wit</w:t>
      </w:r>
      <w:r w:rsidR="00685A27" w:rsidRPr="00004507">
        <w:rPr>
          <w:rFonts w:ascii="Arial" w:hAnsi="Arial" w:cs="Arial"/>
          <w:color w:val="000000" w:themeColor="text1"/>
          <w:lang w:val="en-US"/>
        </w:rPr>
        <w:t>h</w:t>
      </w:r>
      <w:r w:rsidR="00C2720E" w:rsidRPr="00004507">
        <w:rPr>
          <w:rFonts w:ascii="Arial" w:hAnsi="Arial" w:cs="Arial"/>
          <w:color w:val="000000" w:themeColor="text1"/>
          <w:lang w:val="en-US"/>
        </w:rPr>
        <w:t xml:space="preserve"> PEX</w:t>
      </w:r>
      <w:r w:rsidR="003E617A" w:rsidRPr="00004507">
        <w:rPr>
          <w:rFonts w:ascii="Arial" w:hAnsi="Arial" w:cs="Arial"/>
          <w:color w:val="000000" w:themeColor="text1"/>
          <w:lang w:val="en-US"/>
        </w:rPr>
        <w:t xml:space="preserve"> and PEG risk</w:t>
      </w:r>
      <w:r w:rsidR="00C2720E" w:rsidRPr="00004507">
        <w:rPr>
          <w:rFonts w:ascii="Arial" w:hAnsi="Arial" w:cs="Arial"/>
          <w:color w:val="000000" w:themeColor="text1"/>
          <w:lang w:val="en-US"/>
        </w:rPr>
        <w:t>.</w:t>
      </w:r>
      <w:r w:rsidR="009C726F" w:rsidRPr="00004507">
        <w:rPr>
          <w:rFonts w:ascii="Arial" w:hAnsi="Arial" w:cs="Arial"/>
          <w:color w:val="000000" w:themeColor="text1"/>
          <w:lang w:val="en-US"/>
        </w:rPr>
        <w:t xml:space="preserve"> </w:t>
      </w:r>
      <w:r w:rsidR="009C2213" w:rsidRPr="00004507">
        <w:rPr>
          <w:rFonts w:ascii="Arial" w:hAnsi="Arial" w:cs="Arial"/>
          <w:color w:val="000000" w:themeColor="text1"/>
          <w:lang w:val="en-US"/>
        </w:rPr>
        <w:t>The c</w:t>
      </w:r>
      <w:r w:rsidR="009C726F" w:rsidRPr="00004507">
        <w:rPr>
          <w:rFonts w:ascii="Arial" w:hAnsi="Arial" w:cs="Arial"/>
          <w:color w:val="000000" w:themeColor="text1"/>
          <w:lang w:val="en-US"/>
        </w:rPr>
        <w:t xml:space="preserve">orrelation between these genetic </w:t>
      </w:r>
      <w:r w:rsidR="001879D8">
        <w:rPr>
          <w:rFonts w:ascii="Arial" w:hAnsi="Arial" w:cs="Arial"/>
          <w:color w:val="000000" w:themeColor="text1"/>
          <w:lang w:val="en-US"/>
        </w:rPr>
        <w:t xml:space="preserve">alterations </w:t>
      </w:r>
      <w:r w:rsidR="009C726F" w:rsidRPr="00004507">
        <w:rPr>
          <w:rFonts w:ascii="Arial" w:hAnsi="Arial" w:cs="Arial"/>
          <w:color w:val="000000" w:themeColor="text1"/>
          <w:lang w:val="en-US"/>
        </w:rPr>
        <w:t>and some clin</w:t>
      </w:r>
      <w:r w:rsidR="009C2213" w:rsidRPr="00004507">
        <w:rPr>
          <w:rFonts w:ascii="Arial" w:hAnsi="Arial" w:cs="Arial"/>
          <w:color w:val="000000" w:themeColor="text1"/>
          <w:lang w:val="en-US"/>
        </w:rPr>
        <w:t>ical visual characteristics was</w:t>
      </w:r>
      <w:r w:rsidR="009C726F" w:rsidRPr="00004507">
        <w:rPr>
          <w:rFonts w:ascii="Arial" w:hAnsi="Arial" w:cs="Arial"/>
          <w:color w:val="000000" w:themeColor="text1"/>
          <w:lang w:val="en-US"/>
        </w:rPr>
        <w:t xml:space="preserve"> also investigated.</w:t>
      </w:r>
    </w:p>
    <w:p w14:paraId="0FEA8434" w14:textId="77777777" w:rsidR="00E40395" w:rsidRPr="00004507" w:rsidRDefault="00E40395" w:rsidP="00C15EA2">
      <w:pPr>
        <w:spacing w:line="276" w:lineRule="auto"/>
        <w:contextualSpacing/>
        <w:jc w:val="both"/>
        <w:rPr>
          <w:rFonts w:ascii="Arial" w:hAnsi="Arial" w:cs="Arial"/>
          <w:b/>
          <w:color w:val="000000" w:themeColor="text1"/>
          <w:lang w:val="en-US"/>
        </w:rPr>
      </w:pPr>
    </w:p>
    <w:p w14:paraId="7F22996B" w14:textId="377F70F8" w:rsidR="005A30E7" w:rsidRPr="00004507" w:rsidRDefault="005A30E7" w:rsidP="00C15EA2">
      <w:pPr>
        <w:spacing w:line="276" w:lineRule="auto"/>
        <w:contextualSpacing/>
        <w:jc w:val="both"/>
        <w:rPr>
          <w:rFonts w:ascii="Arial" w:hAnsi="Arial" w:cs="Arial"/>
          <w:b/>
          <w:color w:val="000000" w:themeColor="text1"/>
          <w:lang w:val="en-US"/>
        </w:rPr>
      </w:pPr>
    </w:p>
    <w:p w14:paraId="4F327039" w14:textId="51D9AC05" w:rsidR="00C2720E" w:rsidRPr="00311F16" w:rsidRDefault="0034076D" w:rsidP="00311F16">
      <w:pPr>
        <w:spacing w:line="276" w:lineRule="auto"/>
        <w:jc w:val="both"/>
        <w:rPr>
          <w:rFonts w:ascii="Arial" w:hAnsi="Arial" w:cs="Arial"/>
          <w:b/>
          <w:color w:val="000000" w:themeColor="text1"/>
          <w:lang w:val="en-US"/>
        </w:rPr>
      </w:pPr>
      <w:r w:rsidRPr="00311F16">
        <w:rPr>
          <w:rFonts w:ascii="Arial" w:hAnsi="Arial" w:cs="Arial"/>
          <w:b/>
          <w:color w:val="000000" w:themeColor="text1"/>
          <w:lang w:val="en-US"/>
        </w:rPr>
        <w:t>Materials and Methods</w:t>
      </w:r>
    </w:p>
    <w:p w14:paraId="2624908C" w14:textId="008DC4F4" w:rsidR="0014284C" w:rsidRPr="00311F16" w:rsidRDefault="0014284C" w:rsidP="00311F16">
      <w:pPr>
        <w:autoSpaceDE w:val="0"/>
        <w:autoSpaceDN w:val="0"/>
        <w:adjustRightInd w:val="0"/>
        <w:spacing w:after="0" w:line="276" w:lineRule="auto"/>
        <w:rPr>
          <w:rFonts w:ascii="Arial" w:hAnsi="Arial" w:cs="Arial"/>
          <w:b/>
          <w:color w:val="000000" w:themeColor="text1"/>
          <w:lang w:val="en-US"/>
        </w:rPr>
      </w:pPr>
      <w:r w:rsidRPr="00311F16">
        <w:rPr>
          <w:rFonts w:ascii="Arial" w:hAnsi="Arial" w:cs="Arial"/>
          <w:b/>
          <w:color w:val="000000" w:themeColor="text1"/>
          <w:lang w:val="en-US"/>
        </w:rPr>
        <w:t>Subjects</w:t>
      </w:r>
    </w:p>
    <w:p w14:paraId="59C96529" w14:textId="77777777" w:rsidR="00E45F5B" w:rsidRPr="00004507" w:rsidRDefault="00E45F5B" w:rsidP="00E45F5B">
      <w:pPr>
        <w:pStyle w:val="ListeParagraf"/>
        <w:autoSpaceDE w:val="0"/>
        <w:autoSpaceDN w:val="0"/>
        <w:adjustRightInd w:val="0"/>
        <w:spacing w:after="0" w:line="276" w:lineRule="auto"/>
        <w:ind w:left="1080"/>
        <w:rPr>
          <w:rFonts w:ascii="Arial" w:hAnsi="Arial" w:cs="Arial"/>
          <w:b/>
          <w:color w:val="000000" w:themeColor="text1"/>
          <w:lang w:val="en-US"/>
        </w:rPr>
      </w:pPr>
    </w:p>
    <w:p w14:paraId="4090B955" w14:textId="6CB0844D" w:rsidR="003025BA" w:rsidRPr="00004507" w:rsidRDefault="002D3233" w:rsidP="00C15EA2">
      <w:pPr>
        <w:autoSpaceDE w:val="0"/>
        <w:autoSpaceDN w:val="0"/>
        <w:adjustRightInd w:val="0"/>
        <w:spacing w:line="276" w:lineRule="auto"/>
        <w:jc w:val="both"/>
        <w:rPr>
          <w:rFonts w:ascii="Arial" w:hAnsi="Arial" w:cs="Arial"/>
          <w:color w:val="000000" w:themeColor="text1"/>
          <w:lang w:val="en-US"/>
        </w:rPr>
      </w:pPr>
      <w:r w:rsidRPr="00004507">
        <w:rPr>
          <w:rFonts w:ascii="Arial" w:hAnsi="Arial" w:cs="Arial"/>
          <w:color w:val="000000" w:themeColor="text1"/>
          <w:lang w:val="en-US"/>
        </w:rPr>
        <w:t>T</w:t>
      </w:r>
      <w:r w:rsidR="00B40AC1" w:rsidRPr="00004507">
        <w:rPr>
          <w:rFonts w:ascii="Arial" w:hAnsi="Arial" w:cs="Arial"/>
          <w:color w:val="000000" w:themeColor="text1"/>
          <w:lang w:val="en-US"/>
        </w:rPr>
        <w:t xml:space="preserve">he study population </w:t>
      </w:r>
      <w:r w:rsidR="00E45F5B" w:rsidRPr="00004507">
        <w:rPr>
          <w:rFonts w:ascii="Arial" w:hAnsi="Arial" w:cs="Arial"/>
          <w:color w:val="000000" w:themeColor="text1"/>
          <w:lang w:val="en-US"/>
        </w:rPr>
        <w:t>consisted</w:t>
      </w:r>
      <w:r w:rsidR="0055304F" w:rsidRPr="00004507">
        <w:rPr>
          <w:rFonts w:ascii="Arial" w:hAnsi="Arial" w:cs="Arial"/>
          <w:color w:val="000000" w:themeColor="text1"/>
          <w:lang w:val="en-US"/>
        </w:rPr>
        <w:t xml:space="preserve"> of </w:t>
      </w:r>
      <w:r w:rsidR="006A3F35" w:rsidRPr="00004507">
        <w:rPr>
          <w:rFonts w:ascii="Arial" w:hAnsi="Arial" w:cs="Arial"/>
          <w:color w:val="000000" w:themeColor="text1"/>
          <w:lang w:val="en-US"/>
        </w:rPr>
        <w:t>consecutive</w:t>
      </w:r>
      <w:r w:rsidR="00E45F5B" w:rsidRPr="00004507">
        <w:rPr>
          <w:rFonts w:ascii="Arial" w:hAnsi="Arial" w:cs="Arial"/>
          <w:color w:val="000000" w:themeColor="text1"/>
          <w:lang w:val="en-US"/>
        </w:rPr>
        <w:t>,</w:t>
      </w:r>
      <w:r w:rsidR="006A3F35" w:rsidRPr="00004507">
        <w:rPr>
          <w:rFonts w:ascii="Arial" w:hAnsi="Arial" w:cs="Arial"/>
          <w:color w:val="000000" w:themeColor="text1"/>
          <w:lang w:val="en-US"/>
        </w:rPr>
        <w:t xml:space="preserve"> unrelated adult </w:t>
      </w:r>
      <w:r w:rsidRPr="00004507">
        <w:rPr>
          <w:rFonts w:ascii="Arial" w:hAnsi="Arial" w:cs="Arial"/>
          <w:color w:val="000000" w:themeColor="text1"/>
          <w:lang w:val="en-US"/>
        </w:rPr>
        <w:t xml:space="preserve">patients with PEX </w:t>
      </w:r>
      <w:r w:rsidR="006A3F35" w:rsidRPr="00004507">
        <w:rPr>
          <w:rFonts w:ascii="Arial" w:hAnsi="Arial" w:cs="Arial"/>
          <w:color w:val="000000" w:themeColor="text1"/>
          <w:lang w:val="en-US"/>
        </w:rPr>
        <w:t>(n</w:t>
      </w:r>
      <w:r w:rsidR="00E45F5B" w:rsidRPr="00004507">
        <w:rPr>
          <w:rFonts w:ascii="Arial" w:hAnsi="Arial" w:cs="Arial"/>
          <w:color w:val="000000" w:themeColor="text1"/>
          <w:lang w:val="en-US"/>
        </w:rPr>
        <w:t xml:space="preserve"> </w:t>
      </w:r>
      <w:r w:rsidR="006A3F35" w:rsidRPr="00004507">
        <w:rPr>
          <w:rFonts w:ascii="Arial" w:hAnsi="Arial" w:cs="Arial"/>
          <w:color w:val="000000" w:themeColor="text1"/>
          <w:lang w:val="en-US"/>
        </w:rPr>
        <w:t>=</w:t>
      </w:r>
      <w:r w:rsidR="00E45F5B" w:rsidRPr="00004507">
        <w:rPr>
          <w:rFonts w:ascii="Arial" w:hAnsi="Arial" w:cs="Arial"/>
          <w:color w:val="000000" w:themeColor="text1"/>
          <w:lang w:val="en-US"/>
        </w:rPr>
        <w:t xml:space="preserve"> </w:t>
      </w:r>
      <w:r w:rsidR="006A3F35" w:rsidRPr="00004507">
        <w:rPr>
          <w:rFonts w:ascii="Arial" w:hAnsi="Arial" w:cs="Arial"/>
          <w:color w:val="000000" w:themeColor="text1"/>
          <w:lang w:val="en-US"/>
        </w:rPr>
        <w:t xml:space="preserve">150) and </w:t>
      </w:r>
      <w:r w:rsidRPr="00004507">
        <w:rPr>
          <w:rFonts w:ascii="Arial" w:hAnsi="Arial" w:cs="Arial"/>
          <w:color w:val="000000" w:themeColor="text1"/>
          <w:lang w:val="en-US"/>
        </w:rPr>
        <w:t>PEG (</w:t>
      </w:r>
      <w:r w:rsidR="006A3F35" w:rsidRPr="00004507">
        <w:rPr>
          <w:rFonts w:ascii="Arial" w:hAnsi="Arial" w:cs="Arial"/>
          <w:color w:val="000000" w:themeColor="text1"/>
          <w:lang w:val="en-US"/>
        </w:rPr>
        <w:t>n</w:t>
      </w:r>
      <w:r w:rsidR="00E45F5B" w:rsidRPr="00004507">
        <w:rPr>
          <w:rFonts w:ascii="Arial" w:hAnsi="Arial" w:cs="Arial"/>
          <w:color w:val="000000" w:themeColor="text1"/>
          <w:lang w:val="en-US"/>
        </w:rPr>
        <w:t xml:space="preserve"> </w:t>
      </w:r>
      <w:r w:rsidR="006A3F35" w:rsidRPr="00004507">
        <w:rPr>
          <w:rFonts w:ascii="Arial" w:hAnsi="Arial" w:cs="Arial"/>
          <w:color w:val="000000" w:themeColor="text1"/>
          <w:lang w:val="en-US"/>
        </w:rPr>
        <w:t>=</w:t>
      </w:r>
      <w:r w:rsidR="00E45F5B" w:rsidRPr="00004507">
        <w:rPr>
          <w:rFonts w:ascii="Arial" w:hAnsi="Arial" w:cs="Arial"/>
          <w:color w:val="000000" w:themeColor="text1"/>
          <w:lang w:val="en-US"/>
        </w:rPr>
        <w:t xml:space="preserve"> </w:t>
      </w:r>
      <w:r w:rsidR="006A3F35" w:rsidRPr="00004507">
        <w:rPr>
          <w:rFonts w:ascii="Arial" w:hAnsi="Arial" w:cs="Arial"/>
          <w:color w:val="000000" w:themeColor="text1"/>
          <w:lang w:val="en-US"/>
        </w:rPr>
        <w:t>150)</w:t>
      </w:r>
      <w:r w:rsidR="00AE002C" w:rsidRPr="00004507">
        <w:rPr>
          <w:rFonts w:ascii="Arial" w:hAnsi="Arial" w:cs="Arial"/>
          <w:color w:val="000000" w:themeColor="text1"/>
          <w:lang w:val="en-US"/>
        </w:rPr>
        <w:t xml:space="preserve">, and </w:t>
      </w:r>
      <w:r w:rsidR="006A3F35" w:rsidRPr="00004507">
        <w:rPr>
          <w:rFonts w:ascii="Arial" w:hAnsi="Arial" w:cs="Arial"/>
          <w:color w:val="000000" w:themeColor="text1"/>
          <w:lang w:val="en-US"/>
        </w:rPr>
        <w:t xml:space="preserve">unrelated symptom-free </w:t>
      </w:r>
      <w:r w:rsidRPr="00004507">
        <w:rPr>
          <w:rFonts w:ascii="Arial" w:hAnsi="Arial" w:cs="Arial"/>
          <w:color w:val="000000" w:themeColor="text1"/>
          <w:lang w:val="en-US"/>
        </w:rPr>
        <w:t xml:space="preserve">control subjects </w:t>
      </w:r>
      <w:r w:rsidR="006A3F35" w:rsidRPr="00004507">
        <w:rPr>
          <w:rFonts w:ascii="Arial" w:hAnsi="Arial" w:cs="Arial"/>
          <w:color w:val="000000" w:themeColor="text1"/>
          <w:lang w:val="en-US"/>
        </w:rPr>
        <w:t>(n</w:t>
      </w:r>
      <w:r w:rsidR="00E45F5B" w:rsidRPr="00004507">
        <w:rPr>
          <w:rFonts w:ascii="Arial" w:hAnsi="Arial" w:cs="Arial"/>
          <w:color w:val="000000" w:themeColor="text1"/>
          <w:lang w:val="en-US"/>
        </w:rPr>
        <w:t xml:space="preserve"> </w:t>
      </w:r>
      <w:r w:rsidR="006A3F35" w:rsidRPr="00004507">
        <w:rPr>
          <w:rFonts w:ascii="Arial" w:hAnsi="Arial" w:cs="Arial"/>
          <w:color w:val="000000" w:themeColor="text1"/>
          <w:lang w:val="en-US"/>
        </w:rPr>
        <w:t>=</w:t>
      </w:r>
      <w:r w:rsidR="00E45F5B" w:rsidRPr="00004507">
        <w:rPr>
          <w:rFonts w:ascii="Arial" w:hAnsi="Arial" w:cs="Arial"/>
          <w:color w:val="000000" w:themeColor="text1"/>
          <w:lang w:val="en-US"/>
        </w:rPr>
        <w:t xml:space="preserve"> </w:t>
      </w:r>
      <w:r w:rsidR="006A3F35" w:rsidRPr="00004507">
        <w:rPr>
          <w:rFonts w:ascii="Arial" w:hAnsi="Arial" w:cs="Arial"/>
          <w:color w:val="000000" w:themeColor="text1"/>
          <w:lang w:val="en-US"/>
        </w:rPr>
        <w:t xml:space="preserve">150) </w:t>
      </w:r>
      <w:r w:rsidRPr="00004507">
        <w:rPr>
          <w:rFonts w:ascii="Arial" w:hAnsi="Arial" w:cs="Arial"/>
          <w:color w:val="000000" w:themeColor="text1"/>
          <w:lang w:val="en-US"/>
        </w:rPr>
        <w:t xml:space="preserve">examined at </w:t>
      </w:r>
      <w:r w:rsidR="000D44AA" w:rsidRPr="00004507">
        <w:rPr>
          <w:rFonts w:ascii="Arial" w:hAnsi="Arial" w:cs="Arial"/>
          <w:color w:val="000000" w:themeColor="text1"/>
          <w:lang w:val="en-US"/>
        </w:rPr>
        <w:t xml:space="preserve">the </w:t>
      </w:r>
      <w:r w:rsidRPr="00004507">
        <w:rPr>
          <w:rFonts w:ascii="Arial" w:hAnsi="Arial" w:cs="Arial"/>
          <w:color w:val="000000" w:themeColor="text1"/>
          <w:lang w:val="en-US"/>
        </w:rPr>
        <w:t>Department of Ophthalmology,</w:t>
      </w:r>
      <w:r w:rsidR="00AE002C"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Gülhane</w:t>
      </w:r>
      <w:proofErr w:type="spellEnd"/>
      <w:r w:rsidRPr="00004507">
        <w:rPr>
          <w:rFonts w:ascii="Arial" w:hAnsi="Arial" w:cs="Arial"/>
          <w:color w:val="000000" w:themeColor="text1"/>
          <w:lang w:val="en-US"/>
        </w:rPr>
        <w:t xml:space="preserve"> </w:t>
      </w:r>
      <w:r w:rsidR="00AE002C" w:rsidRPr="00004507">
        <w:rPr>
          <w:rFonts w:ascii="Arial" w:hAnsi="Arial" w:cs="Arial"/>
          <w:color w:val="000000" w:themeColor="text1"/>
          <w:lang w:val="en-US"/>
        </w:rPr>
        <w:t>Training and Research Hospital, Ankara,</w:t>
      </w:r>
      <w:r w:rsidRPr="00004507">
        <w:rPr>
          <w:rFonts w:ascii="Arial" w:hAnsi="Arial" w:cs="Arial"/>
          <w:color w:val="000000" w:themeColor="text1"/>
          <w:lang w:val="en-US"/>
        </w:rPr>
        <w:t xml:space="preserve"> Turkey. </w:t>
      </w:r>
      <w:r w:rsidR="006A3F35" w:rsidRPr="00004507">
        <w:rPr>
          <w:rFonts w:ascii="Arial" w:hAnsi="Arial" w:cs="Arial"/>
          <w:color w:val="000000" w:themeColor="text1"/>
          <w:lang w:val="en-US"/>
        </w:rPr>
        <w:t xml:space="preserve">All the subjects were Caucasian and from the same geographic region (Central Anatolia, Turkey). </w:t>
      </w:r>
      <w:r w:rsidRPr="00004507">
        <w:rPr>
          <w:rFonts w:ascii="Arial" w:hAnsi="Arial" w:cs="Arial"/>
          <w:color w:val="000000" w:themeColor="text1"/>
          <w:lang w:val="en-US"/>
        </w:rPr>
        <w:t xml:space="preserve">The </w:t>
      </w:r>
      <w:r w:rsidR="006C1019" w:rsidRPr="00004507">
        <w:rPr>
          <w:rFonts w:ascii="Arial" w:hAnsi="Arial" w:cs="Arial"/>
          <w:color w:val="000000" w:themeColor="text1"/>
          <w:lang w:val="en-US"/>
        </w:rPr>
        <w:t xml:space="preserve">study was approved by the </w:t>
      </w:r>
      <w:r w:rsidRPr="00004507">
        <w:rPr>
          <w:rFonts w:ascii="Arial" w:hAnsi="Arial" w:cs="Arial"/>
          <w:color w:val="000000" w:themeColor="text1"/>
          <w:lang w:val="en-US"/>
        </w:rPr>
        <w:t xml:space="preserve">ethics committee </w:t>
      </w:r>
      <w:r w:rsidR="00DA3DBF" w:rsidRPr="00004507">
        <w:rPr>
          <w:rFonts w:ascii="Arial" w:hAnsi="Arial" w:cs="Arial"/>
          <w:color w:val="000000" w:themeColor="text1"/>
          <w:lang w:val="en-US"/>
        </w:rPr>
        <w:t xml:space="preserve">of the hospital </w:t>
      </w:r>
      <w:r w:rsidRPr="00004507">
        <w:rPr>
          <w:rFonts w:ascii="Arial" w:hAnsi="Arial" w:cs="Arial"/>
          <w:color w:val="000000" w:themeColor="text1"/>
          <w:lang w:val="en-US"/>
        </w:rPr>
        <w:t>and written informed consent was</w:t>
      </w:r>
      <w:r w:rsidR="0055304F"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obtained from </w:t>
      </w:r>
      <w:r w:rsidR="00B40AC1" w:rsidRPr="00004507">
        <w:rPr>
          <w:rFonts w:ascii="Arial" w:hAnsi="Arial" w:cs="Arial"/>
          <w:color w:val="000000" w:themeColor="text1"/>
          <w:lang w:val="en-US"/>
        </w:rPr>
        <w:t xml:space="preserve">all </w:t>
      </w:r>
      <w:r w:rsidR="0030738C" w:rsidRPr="00004507">
        <w:rPr>
          <w:rFonts w:ascii="Arial" w:hAnsi="Arial" w:cs="Arial"/>
          <w:color w:val="000000" w:themeColor="text1"/>
          <w:lang w:val="en-US"/>
        </w:rPr>
        <w:t xml:space="preserve">the </w:t>
      </w:r>
      <w:r w:rsidR="00B40AC1" w:rsidRPr="00004507">
        <w:rPr>
          <w:rFonts w:ascii="Arial" w:hAnsi="Arial" w:cs="Arial"/>
          <w:color w:val="000000" w:themeColor="text1"/>
          <w:lang w:val="en-US"/>
        </w:rPr>
        <w:t xml:space="preserve">subjects. The </w:t>
      </w:r>
      <w:r w:rsidR="009F2CD4" w:rsidRPr="00004507">
        <w:rPr>
          <w:rFonts w:ascii="Arial" w:hAnsi="Arial" w:cs="Arial"/>
          <w:color w:val="000000" w:themeColor="text1"/>
          <w:lang w:val="en-US"/>
        </w:rPr>
        <w:t xml:space="preserve">study was carried out according to the principles of </w:t>
      </w:r>
      <w:r w:rsidR="00B40AC1" w:rsidRPr="00004507">
        <w:rPr>
          <w:rFonts w:ascii="Arial" w:hAnsi="Arial" w:cs="Arial"/>
          <w:color w:val="000000" w:themeColor="text1"/>
          <w:lang w:val="en-US"/>
        </w:rPr>
        <w:t xml:space="preserve">the </w:t>
      </w:r>
      <w:r w:rsidRPr="00004507">
        <w:rPr>
          <w:rFonts w:ascii="Arial" w:hAnsi="Arial" w:cs="Arial"/>
          <w:color w:val="000000" w:themeColor="text1"/>
          <w:lang w:val="en-US"/>
        </w:rPr>
        <w:t>Declaration of</w:t>
      </w:r>
      <w:r w:rsidR="00AE002C" w:rsidRPr="00004507">
        <w:rPr>
          <w:rFonts w:ascii="Arial" w:hAnsi="Arial" w:cs="Arial"/>
          <w:color w:val="000000" w:themeColor="text1"/>
          <w:lang w:val="en-US"/>
        </w:rPr>
        <w:t xml:space="preserve"> </w:t>
      </w:r>
      <w:r w:rsidRPr="00004507">
        <w:rPr>
          <w:rFonts w:ascii="Arial" w:hAnsi="Arial" w:cs="Arial"/>
          <w:color w:val="000000" w:themeColor="text1"/>
          <w:lang w:val="en-US"/>
        </w:rPr>
        <w:t>Helsinki.</w:t>
      </w:r>
    </w:p>
    <w:p w14:paraId="0447C1A6" w14:textId="702B9E48" w:rsidR="003025BA" w:rsidRPr="00004507" w:rsidRDefault="0055304F" w:rsidP="00C15EA2">
      <w:pPr>
        <w:autoSpaceDE w:val="0"/>
        <w:autoSpaceDN w:val="0"/>
        <w:adjustRightInd w:val="0"/>
        <w:spacing w:after="0" w:line="276" w:lineRule="auto"/>
        <w:jc w:val="both"/>
        <w:rPr>
          <w:rFonts w:ascii="Arial" w:hAnsi="Arial" w:cs="Arial"/>
          <w:color w:val="000000" w:themeColor="text1"/>
          <w:lang w:val="en-US"/>
        </w:rPr>
      </w:pPr>
      <w:r w:rsidRPr="00004507">
        <w:rPr>
          <w:rFonts w:ascii="Arial" w:hAnsi="Arial" w:cs="Arial"/>
          <w:color w:val="000000" w:themeColor="text1"/>
          <w:lang w:val="en-US"/>
        </w:rPr>
        <w:t xml:space="preserve">The diagnosis of PEX </w:t>
      </w:r>
      <w:r w:rsidR="00DA3DBF" w:rsidRPr="00004507">
        <w:rPr>
          <w:rFonts w:ascii="Arial" w:hAnsi="Arial" w:cs="Arial"/>
          <w:color w:val="000000" w:themeColor="text1"/>
          <w:lang w:val="en-US"/>
        </w:rPr>
        <w:t xml:space="preserve">and PEG was performed </w:t>
      </w:r>
      <w:r w:rsidR="002B2A24" w:rsidRPr="00004507">
        <w:rPr>
          <w:rFonts w:ascii="Arial" w:hAnsi="Arial" w:cs="Arial"/>
          <w:color w:val="000000" w:themeColor="text1"/>
          <w:lang w:val="en-US"/>
        </w:rPr>
        <w:t xml:space="preserve">as </w:t>
      </w:r>
      <w:r w:rsidR="00DA3DBF" w:rsidRPr="00004507">
        <w:rPr>
          <w:rFonts w:ascii="Arial" w:hAnsi="Arial" w:cs="Arial"/>
          <w:color w:val="000000" w:themeColor="text1"/>
          <w:lang w:val="en-US"/>
        </w:rPr>
        <w:t xml:space="preserve">previously </w:t>
      </w:r>
      <w:r w:rsidR="002B2A24" w:rsidRPr="00004507">
        <w:rPr>
          <w:rFonts w:ascii="Arial" w:hAnsi="Arial" w:cs="Arial"/>
          <w:color w:val="000000" w:themeColor="text1"/>
          <w:lang w:val="en-US"/>
        </w:rPr>
        <w:t xml:space="preserve">explained </w:t>
      </w:r>
      <w:r w:rsidR="00A84CC1" w:rsidRPr="00004507">
        <w:rPr>
          <w:rFonts w:ascii="Arial" w:hAnsi="Arial" w:cs="Arial"/>
          <w:color w:val="000000" w:themeColor="text1"/>
          <w:lang w:val="en-US"/>
        </w:rPr>
        <w:t>[12</w:t>
      </w:r>
      <w:proofErr w:type="gramStart"/>
      <w:r w:rsidR="00A84CC1" w:rsidRPr="00004507">
        <w:rPr>
          <w:rFonts w:ascii="Arial" w:hAnsi="Arial" w:cs="Arial"/>
          <w:color w:val="000000" w:themeColor="text1"/>
          <w:lang w:val="en-US"/>
        </w:rPr>
        <w:t>,30</w:t>
      </w:r>
      <w:proofErr w:type="gramEnd"/>
      <w:r w:rsidR="00A84CC1" w:rsidRPr="00004507">
        <w:rPr>
          <w:rFonts w:ascii="Arial" w:hAnsi="Arial" w:cs="Arial"/>
          <w:color w:val="000000" w:themeColor="text1"/>
          <w:lang w:val="en-US"/>
        </w:rPr>
        <w:t>]</w:t>
      </w:r>
      <w:r w:rsidR="00C656E3" w:rsidRPr="00004507">
        <w:rPr>
          <w:rFonts w:ascii="Arial" w:hAnsi="Arial" w:cs="Arial"/>
          <w:color w:val="000000" w:themeColor="text1"/>
          <w:lang w:val="en-US"/>
        </w:rPr>
        <w:t xml:space="preserve">. </w:t>
      </w:r>
      <w:r w:rsidR="002B2A24" w:rsidRPr="00004507">
        <w:rPr>
          <w:rFonts w:ascii="Arial" w:hAnsi="Arial" w:cs="Arial"/>
          <w:color w:val="000000" w:themeColor="text1"/>
          <w:lang w:val="en-US"/>
        </w:rPr>
        <w:t xml:space="preserve">Briefly, PEX diagnosis </w:t>
      </w:r>
      <w:r w:rsidR="00DA3DBF" w:rsidRPr="00004507">
        <w:rPr>
          <w:rFonts w:ascii="Arial" w:hAnsi="Arial" w:cs="Arial"/>
          <w:color w:val="000000" w:themeColor="text1"/>
          <w:lang w:val="en-US"/>
        </w:rPr>
        <w:t xml:space="preserve">was made via slit </w:t>
      </w:r>
      <w:r w:rsidRPr="00004507">
        <w:rPr>
          <w:rFonts w:ascii="Arial" w:hAnsi="Arial" w:cs="Arial"/>
          <w:color w:val="000000" w:themeColor="text1"/>
          <w:lang w:val="en-US"/>
        </w:rPr>
        <w:t>lamp examination</w:t>
      </w:r>
      <w:r w:rsidR="00B40AC1"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following </w:t>
      </w:r>
      <w:proofErr w:type="spellStart"/>
      <w:r w:rsidRPr="00004507">
        <w:rPr>
          <w:rFonts w:ascii="Arial" w:hAnsi="Arial" w:cs="Arial"/>
          <w:color w:val="000000" w:themeColor="text1"/>
          <w:lang w:val="en-US"/>
        </w:rPr>
        <w:t>mydriasis</w:t>
      </w:r>
      <w:proofErr w:type="spellEnd"/>
      <w:r w:rsidRPr="00004507">
        <w:rPr>
          <w:rFonts w:ascii="Arial" w:hAnsi="Arial" w:cs="Arial"/>
          <w:color w:val="000000" w:themeColor="text1"/>
          <w:lang w:val="en-US"/>
        </w:rPr>
        <w:t xml:space="preserve"> and included the presence of typical</w:t>
      </w:r>
      <w:r w:rsidR="00B40AC1" w:rsidRPr="00004507">
        <w:rPr>
          <w:rFonts w:ascii="Arial" w:hAnsi="Arial" w:cs="Arial"/>
          <w:color w:val="000000" w:themeColor="text1"/>
          <w:lang w:val="en-US"/>
        </w:rPr>
        <w:t xml:space="preserve"> </w:t>
      </w:r>
      <w:r w:rsidRPr="00004507">
        <w:rPr>
          <w:rFonts w:ascii="Arial" w:hAnsi="Arial" w:cs="Arial"/>
          <w:color w:val="000000" w:themeColor="text1"/>
          <w:lang w:val="en-US"/>
        </w:rPr>
        <w:t>pseudoexfoliation material on the anterior lens capsule and/or</w:t>
      </w:r>
      <w:r w:rsidR="00C656E3"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the pupillary border. Patients with PEG followed up </w:t>
      </w:r>
      <w:r w:rsidR="00DA3DBF" w:rsidRPr="00004507">
        <w:rPr>
          <w:rFonts w:ascii="Arial" w:hAnsi="Arial" w:cs="Arial"/>
          <w:color w:val="000000" w:themeColor="text1"/>
          <w:lang w:val="en-US"/>
        </w:rPr>
        <w:t xml:space="preserve">on </w:t>
      </w:r>
      <w:r w:rsidRPr="00004507">
        <w:rPr>
          <w:rFonts w:ascii="Arial" w:hAnsi="Arial" w:cs="Arial"/>
          <w:color w:val="000000" w:themeColor="text1"/>
          <w:lang w:val="en-US"/>
        </w:rPr>
        <w:t xml:space="preserve">by </w:t>
      </w:r>
      <w:r w:rsidR="00C656E3" w:rsidRPr="00004507">
        <w:rPr>
          <w:rFonts w:ascii="Arial" w:hAnsi="Arial" w:cs="Arial"/>
          <w:color w:val="000000" w:themeColor="text1"/>
          <w:lang w:val="en-US"/>
        </w:rPr>
        <w:t xml:space="preserve">the </w:t>
      </w:r>
      <w:r w:rsidRPr="00004507">
        <w:rPr>
          <w:rFonts w:ascii="Arial" w:hAnsi="Arial" w:cs="Arial"/>
          <w:color w:val="000000" w:themeColor="text1"/>
          <w:lang w:val="en-US"/>
        </w:rPr>
        <w:t xml:space="preserve">Glaucoma Service </w:t>
      </w:r>
      <w:r w:rsidR="00DA3DBF" w:rsidRPr="00004507">
        <w:rPr>
          <w:rFonts w:ascii="Arial" w:hAnsi="Arial" w:cs="Arial"/>
          <w:color w:val="000000" w:themeColor="text1"/>
          <w:lang w:val="en-US"/>
        </w:rPr>
        <w:t xml:space="preserve">at the Hospital </w:t>
      </w:r>
      <w:r w:rsidRPr="00004507">
        <w:rPr>
          <w:rFonts w:ascii="Arial" w:hAnsi="Arial" w:cs="Arial"/>
          <w:color w:val="000000" w:themeColor="text1"/>
          <w:lang w:val="en-US"/>
        </w:rPr>
        <w:t>were also recruited into the study. PEG</w:t>
      </w:r>
      <w:r w:rsidR="00B40AC1" w:rsidRPr="00004507">
        <w:rPr>
          <w:rFonts w:ascii="Arial" w:hAnsi="Arial" w:cs="Arial"/>
          <w:color w:val="000000" w:themeColor="text1"/>
          <w:lang w:val="en-US"/>
        </w:rPr>
        <w:t xml:space="preserve"> </w:t>
      </w:r>
      <w:r w:rsidR="00DA3DBF" w:rsidRPr="00004507">
        <w:rPr>
          <w:rFonts w:ascii="Arial" w:hAnsi="Arial" w:cs="Arial"/>
          <w:color w:val="000000" w:themeColor="text1"/>
          <w:lang w:val="en-US"/>
        </w:rPr>
        <w:t xml:space="preserve">was </w:t>
      </w:r>
      <w:r w:rsidRPr="00004507">
        <w:rPr>
          <w:rFonts w:ascii="Arial" w:hAnsi="Arial" w:cs="Arial"/>
          <w:color w:val="000000" w:themeColor="text1"/>
          <w:lang w:val="en-US"/>
        </w:rPr>
        <w:t xml:space="preserve">diagnosed when </w:t>
      </w:r>
      <w:r w:rsidR="00DA3DBF" w:rsidRPr="00004507">
        <w:rPr>
          <w:rFonts w:ascii="Arial" w:hAnsi="Arial" w:cs="Arial"/>
          <w:color w:val="000000" w:themeColor="text1"/>
          <w:lang w:val="en-US"/>
        </w:rPr>
        <w:t xml:space="preserve">the </w:t>
      </w:r>
      <w:r w:rsidRPr="00004507">
        <w:rPr>
          <w:rFonts w:ascii="Arial" w:hAnsi="Arial" w:cs="Arial"/>
          <w:color w:val="000000" w:themeColor="text1"/>
          <w:lang w:val="en-US"/>
        </w:rPr>
        <w:t>anterior segment findings of</w:t>
      </w:r>
      <w:r w:rsidR="00C656E3"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PEX accompanied an </w:t>
      </w:r>
      <w:r w:rsidR="00DA3DBF" w:rsidRPr="00004507">
        <w:rPr>
          <w:rFonts w:ascii="Arial" w:hAnsi="Arial" w:cs="Arial"/>
          <w:color w:val="000000" w:themeColor="text1"/>
          <w:lang w:val="en-US"/>
        </w:rPr>
        <w:t>IOP of</w:t>
      </w:r>
      <w:r w:rsidRPr="00004507">
        <w:rPr>
          <w:rFonts w:ascii="Arial" w:hAnsi="Arial" w:cs="Arial"/>
          <w:color w:val="000000" w:themeColor="text1"/>
          <w:lang w:val="en-US"/>
        </w:rPr>
        <w:t xml:space="preserve"> &gt;</w:t>
      </w:r>
      <w:r w:rsidR="00DA3DBF" w:rsidRPr="00004507">
        <w:rPr>
          <w:rFonts w:ascii="Arial" w:hAnsi="Arial" w:cs="Arial"/>
          <w:color w:val="000000" w:themeColor="text1"/>
          <w:lang w:val="en-US"/>
        </w:rPr>
        <w:t xml:space="preserve"> </w:t>
      </w:r>
      <w:r w:rsidRPr="00004507">
        <w:rPr>
          <w:rFonts w:ascii="Arial" w:hAnsi="Arial" w:cs="Arial"/>
          <w:color w:val="000000" w:themeColor="text1"/>
          <w:lang w:val="en-US"/>
        </w:rPr>
        <w:t>21 mmHg</w:t>
      </w:r>
      <w:r w:rsidR="00B40AC1" w:rsidRPr="00004507">
        <w:rPr>
          <w:rFonts w:ascii="Arial" w:hAnsi="Arial" w:cs="Arial"/>
          <w:color w:val="000000" w:themeColor="text1"/>
          <w:lang w:val="en-US"/>
        </w:rPr>
        <w:t xml:space="preserve"> </w:t>
      </w:r>
      <w:r w:rsidR="00774986" w:rsidRPr="00004507">
        <w:rPr>
          <w:rFonts w:ascii="Arial" w:hAnsi="Arial" w:cs="Arial"/>
          <w:color w:val="000000" w:themeColor="text1"/>
          <w:lang w:val="en-US"/>
        </w:rPr>
        <w:t xml:space="preserve">without treatment or </w:t>
      </w:r>
      <w:r w:rsidR="00DA3DBF" w:rsidRPr="00004507">
        <w:rPr>
          <w:rFonts w:ascii="Arial" w:hAnsi="Arial" w:cs="Arial"/>
          <w:color w:val="000000" w:themeColor="text1"/>
          <w:lang w:val="en-US"/>
        </w:rPr>
        <w:t xml:space="preserve">of </w:t>
      </w:r>
      <w:r w:rsidR="00774986" w:rsidRPr="00004507">
        <w:rPr>
          <w:rFonts w:ascii="Arial" w:hAnsi="Arial" w:cs="Arial"/>
          <w:color w:val="000000" w:themeColor="text1"/>
          <w:lang w:val="en-US"/>
        </w:rPr>
        <w:t>&lt;</w:t>
      </w:r>
      <w:r w:rsidR="00DA3DBF" w:rsidRPr="00004507">
        <w:rPr>
          <w:rFonts w:ascii="Arial" w:hAnsi="Arial" w:cs="Arial"/>
          <w:color w:val="000000" w:themeColor="text1"/>
          <w:lang w:val="en-US"/>
        </w:rPr>
        <w:t xml:space="preserve"> </w:t>
      </w:r>
      <w:r w:rsidR="00774986" w:rsidRPr="00004507">
        <w:rPr>
          <w:rFonts w:ascii="Arial" w:hAnsi="Arial" w:cs="Arial"/>
          <w:color w:val="000000" w:themeColor="text1"/>
          <w:lang w:val="en-US"/>
        </w:rPr>
        <w:t>21</w:t>
      </w:r>
      <w:r w:rsidR="00E26E9B" w:rsidRPr="00004507">
        <w:rPr>
          <w:rFonts w:ascii="Arial" w:hAnsi="Arial" w:cs="Arial"/>
          <w:color w:val="000000" w:themeColor="text1"/>
          <w:lang w:val="en-US"/>
        </w:rPr>
        <w:t xml:space="preserve"> </w:t>
      </w:r>
      <w:r w:rsidR="00774986" w:rsidRPr="00004507">
        <w:rPr>
          <w:rFonts w:ascii="Arial" w:hAnsi="Arial" w:cs="Arial"/>
          <w:color w:val="000000" w:themeColor="text1"/>
          <w:lang w:val="en-US"/>
        </w:rPr>
        <w:t xml:space="preserve">mmHg with treatment, </w:t>
      </w:r>
      <w:r w:rsidRPr="00004507">
        <w:rPr>
          <w:rFonts w:ascii="Arial" w:hAnsi="Arial" w:cs="Arial"/>
          <w:color w:val="000000" w:themeColor="text1"/>
          <w:lang w:val="en-US"/>
        </w:rPr>
        <w:t>typical optic nerve head changes, and</w:t>
      </w:r>
      <w:r w:rsidR="00B40AC1" w:rsidRPr="00004507">
        <w:rPr>
          <w:rFonts w:ascii="Arial" w:hAnsi="Arial" w:cs="Arial"/>
          <w:color w:val="000000" w:themeColor="text1"/>
          <w:lang w:val="en-US"/>
        </w:rPr>
        <w:t xml:space="preserve"> </w:t>
      </w:r>
      <w:r w:rsidRPr="00004507">
        <w:rPr>
          <w:rFonts w:ascii="Arial" w:hAnsi="Arial" w:cs="Arial"/>
          <w:color w:val="000000" w:themeColor="text1"/>
          <w:lang w:val="en-US"/>
        </w:rPr>
        <w:t>visual field defects.</w:t>
      </w:r>
      <w:r w:rsidR="00774986" w:rsidRPr="00004507">
        <w:rPr>
          <w:rFonts w:ascii="Arial" w:hAnsi="Arial" w:cs="Arial"/>
          <w:color w:val="000000" w:themeColor="text1"/>
          <w:lang w:val="en-US"/>
        </w:rPr>
        <w:t xml:space="preserve"> </w:t>
      </w:r>
      <w:r w:rsidRPr="000364EA">
        <w:rPr>
          <w:rFonts w:ascii="Arial" w:hAnsi="Arial" w:cs="Arial"/>
          <w:color w:val="000000" w:themeColor="text1"/>
          <w:lang w:val="en-US"/>
        </w:rPr>
        <w:t xml:space="preserve">Consecutive </w:t>
      </w:r>
      <w:r w:rsidR="000615C8" w:rsidRPr="000364EA">
        <w:rPr>
          <w:rFonts w:ascii="Arial" w:hAnsi="Arial" w:cs="Arial"/>
          <w:color w:val="000000" w:themeColor="text1"/>
          <w:lang w:val="en-US"/>
        </w:rPr>
        <w:t>subjects</w:t>
      </w:r>
      <w:r w:rsidR="001D6D05" w:rsidRPr="000364EA">
        <w:rPr>
          <w:rFonts w:ascii="Arial" w:hAnsi="Arial" w:cs="Arial"/>
          <w:color w:val="000000" w:themeColor="text1"/>
          <w:lang w:val="en-US"/>
        </w:rPr>
        <w:t xml:space="preserve"> </w:t>
      </w:r>
      <w:r w:rsidRPr="000364EA">
        <w:rPr>
          <w:rFonts w:ascii="Arial" w:hAnsi="Arial" w:cs="Arial"/>
          <w:color w:val="000000" w:themeColor="text1"/>
          <w:lang w:val="en-US"/>
        </w:rPr>
        <w:t>with</w:t>
      </w:r>
      <w:r w:rsidR="00C656E3" w:rsidRPr="000364EA">
        <w:rPr>
          <w:rFonts w:ascii="Arial" w:hAnsi="Arial" w:cs="Arial"/>
          <w:color w:val="000000" w:themeColor="text1"/>
          <w:lang w:val="en-US"/>
        </w:rPr>
        <w:t xml:space="preserve"> </w:t>
      </w:r>
      <w:r w:rsidRPr="000364EA">
        <w:rPr>
          <w:rFonts w:ascii="Arial" w:hAnsi="Arial" w:cs="Arial"/>
          <w:color w:val="000000" w:themeColor="text1"/>
          <w:lang w:val="en-US"/>
        </w:rPr>
        <w:t>an IOP</w:t>
      </w:r>
      <w:r w:rsidR="00DA3DBF" w:rsidRPr="000364EA">
        <w:rPr>
          <w:rFonts w:ascii="Arial" w:hAnsi="Arial" w:cs="Arial"/>
          <w:color w:val="000000" w:themeColor="text1"/>
          <w:lang w:val="en-US"/>
        </w:rPr>
        <w:t xml:space="preserve"> of</w:t>
      </w:r>
      <w:r w:rsidRPr="000364EA">
        <w:rPr>
          <w:rFonts w:ascii="Arial" w:hAnsi="Arial" w:cs="Arial"/>
          <w:color w:val="000000" w:themeColor="text1"/>
          <w:lang w:val="en-US"/>
        </w:rPr>
        <w:t xml:space="preserve"> </w:t>
      </w:r>
      <w:r w:rsidRPr="000364EA">
        <w:rPr>
          <w:rFonts w:ascii="Arial" w:eastAsia="AdvTT3713a231+22" w:hAnsi="Arial" w:cs="Arial"/>
          <w:color w:val="000000" w:themeColor="text1"/>
          <w:lang w:val="en-US"/>
        </w:rPr>
        <w:t>≤</w:t>
      </w:r>
      <w:r w:rsidR="00DA3DBF" w:rsidRPr="000364EA">
        <w:rPr>
          <w:rFonts w:ascii="Arial" w:eastAsia="AdvTT3713a231+22" w:hAnsi="Arial" w:cs="Arial"/>
          <w:color w:val="000000" w:themeColor="text1"/>
          <w:lang w:val="en-US"/>
        </w:rPr>
        <w:t xml:space="preserve"> </w:t>
      </w:r>
      <w:r w:rsidRPr="000364EA">
        <w:rPr>
          <w:rFonts w:ascii="Arial" w:hAnsi="Arial" w:cs="Arial"/>
          <w:color w:val="000000" w:themeColor="text1"/>
          <w:lang w:val="en-US"/>
        </w:rPr>
        <w:t>21 mmHg, a normal optic disk appearance, and no</w:t>
      </w:r>
      <w:r w:rsidR="00B40AC1" w:rsidRPr="000364EA">
        <w:rPr>
          <w:rFonts w:ascii="Arial" w:hAnsi="Arial" w:cs="Arial"/>
          <w:color w:val="000000" w:themeColor="text1"/>
          <w:lang w:val="en-US"/>
        </w:rPr>
        <w:t xml:space="preserve"> </w:t>
      </w:r>
      <w:r w:rsidR="001D6D05" w:rsidRPr="000364EA">
        <w:rPr>
          <w:rFonts w:ascii="Arial" w:hAnsi="Arial" w:cs="Arial"/>
          <w:color w:val="000000" w:themeColor="text1"/>
          <w:lang w:val="en-US"/>
        </w:rPr>
        <w:t xml:space="preserve">pseudoexfoliation material on the anterior lens capsule and pupil margin, and no </w:t>
      </w:r>
      <w:r w:rsidRPr="000364EA">
        <w:rPr>
          <w:rFonts w:ascii="Arial" w:hAnsi="Arial" w:cs="Arial"/>
          <w:color w:val="000000" w:themeColor="text1"/>
          <w:lang w:val="en-US"/>
        </w:rPr>
        <w:t>visual field defects were included as controls.</w:t>
      </w:r>
      <w:r w:rsidRPr="00004507">
        <w:rPr>
          <w:rFonts w:ascii="Arial" w:hAnsi="Arial" w:cs="Arial"/>
          <w:color w:val="000000" w:themeColor="text1"/>
          <w:lang w:val="en-US"/>
        </w:rPr>
        <w:t xml:space="preserve"> </w:t>
      </w:r>
      <w:r w:rsidR="00DA3DBF" w:rsidRPr="00004507">
        <w:rPr>
          <w:rFonts w:ascii="Arial" w:hAnsi="Arial" w:cs="Arial"/>
          <w:color w:val="000000" w:themeColor="text1"/>
          <w:lang w:val="en-US"/>
        </w:rPr>
        <w:t>Both the h</w:t>
      </w:r>
      <w:r w:rsidRPr="00004507">
        <w:rPr>
          <w:rFonts w:ascii="Arial" w:hAnsi="Arial" w:cs="Arial"/>
          <w:color w:val="000000" w:themeColor="text1"/>
          <w:lang w:val="en-US"/>
        </w:rPr>
        <w:t>ealthy subjects</w:t>
      </w:r>
      <w:r w:rsidR="00B40AC1" w:rsidRPr="00004507">
        <w:rPr>
          <w:rFonts w:ascii="Arial" w:hAnsi="Arial" w:cs="Arial"/>
          <w:color w:val="000000" w:themeColor="text1"/>
          <w:lang w:val="en-US"/>
        </w:rPr>
        <w:t xml:space="preserve"> </w:t>
      </w:r>
      <w:r w:rsidR="00DA3DBF" w:rsidRPr="00004507">
        <w:rPr>
          <w:rFonts w:ascii="Arial" w:hAnsi="Arial" w:cs="Arial"/>
          <w:color w:val="000000" w:themeColor="text1"/>
          <w:lang w:val="en-US"/>
        </w:rPr>
        <w:t xml:space="preserve">and the </w:t>
      </w:r>
      <w:r w:rsidRPr="00004507">
        <w:rPr>
          <w:rFonts w:ascii="Arial" w:hAnsi="Arial" w:cs="Arial"/>
          <w:color w:val="000000" w:themeColor="text1"/>
          <w:lang w:val="en-US"/>
        </w:rPr>
        <w:t>patients received a comprehensive ophthalmological</w:t>
      </w:r>
      <w:r w:rsidR="00B40AC1"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examination including best-corrected </w:t>
      </w:r>
      <w:proofErr w:type="spellStart"/>
      <w:r w:rsidRPr="00004507">
        <w:rPr>
          <w:rFonts w:ascii="Arial" w:hAnsi="Arial" w:cs="Arial"/>
          <w:color w:val="000000" w:themeColor="text1"/>
          <w:lang w:val="en-US"/>
        </w:rPr>
        <w:t>Snellen</w:t>
      </w:r>
      <w:proofErr w:type="spellEnd"/>
      <w:r w:rsidRPr="00004507">
        <w:rPr>
          <w:rFonts w:ascii="Arial" w:hAnsi="Arial" w:cs="Arial"/>
          <w:color w:val="000000" w:themeColor="text1"/>
          <w:lang w:val="en-US"/>
        </w:rPr>
        <w:t xml:space="preserve"> visual acuity</w:t>
      </w:r>
      <w:r w:rsidR="00F24FC4" w:rsidRPr="00004507">
        <w:rPr>
          <w:rFonts w:ascii="Arial" w:hAnsi="Arial" w:cs="Arial"/>
          <w:color w:val="000000" w:themeColor="text1"/>
          <w:lang w:val="en-US"/>
        </w:rPr>
        <w:t xml:space="preserve"> </w:t>
      </w:r>
      <w:r w:rsidRPr="00004507">
        <w:rPr>
          <w:rFonts w:ascii="Arial" w:hAnsi="Arial" w:cs="Arial"/>
          <w:color w:val="000000" w:themeColor="text1"/>
          <w:lang w:val="en-US"/>
        </w:rPr>
        <w:t>testing, slit</w:t>
      </w:r>
      <w:r w:rsidR="00DA3DBF"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lamp examination, </w:t>
      </w:r>
      <w:proofErr w:type="spellStart"/>
      <w:r w:rsidRPr="00004507">
        <w:rPr>
          <w:rFonts w:ascii="Arial" w:hAnsi="Arial" w:cs="Arial"/>
          <w:color w:val="000000" w:themeColor="text1"/>
          <w:lang w:val="en-US"/>
        </w:rPr>
        <w:t>Goldmann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applanation</w:t>
      </w:r>
      <w:proofErr w:type="spellEnd"/>
      <w:r w:rsidRPr="00004507">
        <w:rPr>
          <w:rFonts w:ascii="Arial" w:hAnsi="Arial" w:cs="Arial"/>
          <w:color w:val="000000" w:themeColor="text1"/>
          <w:lang w:val="en-US"/>
        </w:rPr>
        <w:t xml:space="preserve"> tonometry,</w:t>
      </w:r>
      <w:r w:rsidR="00B40AC1" w:rsidRPr="00004507">
        <w:rPr>
          <w:rFonts w:ascii="Arial" w:hAnsi="Arial" w:cs="Arial"/>
          <w:color w:val="000000" w:themeColor="text1"/>
          <w:lang w:val="en-US"/>
        </w:rPr>
        <w:t xml:space="preserve"> </w:t>
      </w:r>
      <w:proofErr w:type="spellStart"/>
      <w:proofErr w:type="gramStart"/>
      <w:r w:rsidRPr="00004507">
        <w:rPr>
          <w:rFonts w:ascii="Arial" w:hAnsi="Arial" w:cs="Arial"/>
          <w:color w:val="000000" w:themeColor="text1"/>
          <w:lang w:val="en-US"/>
        </w:rPr>
        <w:t>gonioscopic</w:t>
      </w:r>
      <w:proofErr w:type="spellEnd"/>
      <w:proofErr w:type="gramEnd"/>
      <w:r w:rsidRPr="00004507">
        <w:rPr>
          <w:rFonts w:ascii="Arial" w:hAnsi="Arial" w:cs="Arial"/>
          <w:color w:val="000000" w:themeColor="text1"/>
          <w:lang w:val="en-US"/>
        </w:rPr>
        <w:t xml:space="preserve"> evaluation, dilated fundus examination</w:t>
      </w:r>
      <w:r w:rsidR="00B40AC1" w:rsidRPr="00004507">
        <w:rPr>
          <w:rFonts w:ascii="Arial" w:hAnsi="Arial" w:cs="Arial"/>
          <w:color w:val="000000" w:themeColor="text1"/>
          <w:lang w:val="en-US"/>
        </w:rPr>
        <w:t xml:space="preserve"> </w:t>
      </w:r>
      <w:r w:rsidR="00DA3DBF" w:rsidRPr="00004507">
        <w:rPr>
          <w:rFonts w:ascii="Arial" w:hAnsi="Arial" w:cs="Arial"/>
          <w:color w:val="000000" w:themeColor="text1"/>
          <w:lang w:val="en-US"/>
        </w:rPr>
        <w:t>using a 90-diopt</w:t>
      </w:r>
      <w:r w:rsidRPr="00004507">
        <w:rPr>
          <w:rFonts w:ascii="Arial" w:hAnsi="Arial" w:cs="Arial"/>
          <w:color w:val="000000" w:themeColor="text1"/>
          <w:lang w:val="en-US"/>
        </w:rPr>
        <w:t>e</w:t>
      </w:r>
      <w:r w:rsidR="00DA3DBF" w:rsidRPr="00004507">
        <w:rPr>
          <w:rFonts w:ascii="Arial" w:hAnsi="Arial" w:cs="Arial"/>
          <w:color w:val="000000" w:themeColor="text1"/>
          <w:lang w:val="en-US"/>
        </w:rPr>
        <w:t>r</w:t>
      </w:r>
      <w:r w:rsidRPr="00004507">
        <w:rPr>
          <w:rFonts w:ascii="Arial" w:hAnsi="Arial" w:cs="Arial"/>
          <w:color w:val="000000" w:themeColor="text1"/>
          <w:lang w:val="en-US"/>
        </w:rPr>
        <w:t xml:space="preserve"> lens, and visual field evaluation using the</w:t>
      </w:r>
      <w:r w:rsidR="00F24FC4" w:rsidRPr="00004507">
        <w:rPr>
          <w:rFonts w:ascii="Arial" w:hAnsi="Arial" w:cs="Arial"/>
          <w:color w:val="000000" w:themeColor="text1"/>
          <w:lang w:val="en-US"/>
        </w:rPr>
        <w:t xml:space="preserve"> </w:t>
      </w:r>
      <w:r w:rsidRPr="00004507">
        <w:rPr>
          <w:rFonts w:ascii="Arial" w:hAnsi="Arial" w:cs="Arial"/>
          <w:color w:val="000000" w:themeColor="text1"/>
          <w:lang w:val="en-US"/>
        </w:rPr>
        <w:t>30-2 SITA-Standard algo</w:t>
      </w:r>
      <w:r w:rsidR="00DA3DBF" w:rsidRPr="00004507">
        <w:rPr>
          <w:rFonts w:ascii="Arial" w:hAnsi="Arial" w:cs="Arial"/>
          <w:color w:val="000000" w:themeColor="text1"/>
          <w:lang w:val="en-US"/>
        </w:rPr>
        <w:t>rithm (Humphrey Instruments</w:t>
      </w:r>
      <w:r w:rsidRPr="00004507">
        <w:rPr>
          <w:rFonts w:ascii="Arial" w:hAnsi="Arial" w:cs="Arial"/>
          <w:color w:val="000000" w:themeColor="text1"/>
          <w:lang w:val="en-US"/>
        </w:rPr>
        <w:t>,</w:t>
      </w:r>
      <w:r w:rsidR="00B40AC1" w:rsidRPr="00004507">
        <w:rPr>
          <w:rFonts w:ascii="Arial" w:hAnsi="Arial" w:cs="Arial"/>
          <w:color w:val="000000" w:themeColor="text1"/>
          <w:lang w:val="en-US"/>
        </w:rPr>
        <w:t xml:space="preserve"> </w:t>
      </w:r>
      <w:r w:rsidRPr="00004507">
        <w:rPr>
          <w:rFonts w:ascii="Arial" w:hAnsi="Arial" w:cs="Arial"/>
          <w:color w:val="000000" w:themeColor="text1"/>
          <w:lang w:val="en-US"/>
        </w:rPr>
        <w:t>San Leandro, CA, USA).</w:t>
      </w:r>
    </w:p>
    <w:p w14:paraId="58761FE1" w14:textId="226BF9C7" w:rsidR="008F28F0" w:rsidRPr="00004507" w:rsidRDefault="00DA3DBF" w:rsidP="00C15EA2">
      <w:pPr>
        <w:autoSpaceDE w:val="0"/>
        <w:autoSpaceDN w:val="0"/>
        <w:adjustRightInd w:val="0"/>
        <w:spacing w:before="240" w:line="276" w:lineRule="auto"/>
        <w:jc w:val="both"/>
        <w:rPr>
          <w:rFonts w:ascii="Arial" w:hAnsi="Arial" w:cs="Arial"/>
          <w:color w:val="000000" w:themeColor="text1"/>
          <w:lang w:val="en-US"/>
        </w:rPr>
      </w:pPr>
      <w:r w:rsidRPr="00004507">
        <w:rPr>
          <w:rFonts w:ascii="Arial" w:hAnsi="Arial" w:cs="Arial"/>
          <w:color w:val="000000" w:themeColor="text1"/>
          <w:lang w:val="en-US"/>
        </w:rPr>
        <w:t>The d</w:t>
      </w:r>
      <w:r w:rsidR="00B9482F" w:rsidRPr="00004507">
        <w:rPr>
          <w:rFonts w:ascii="Arial" w:hAnsi="Arial" w:cs="Arial"/>
          <w:color w:val="000000" w:themeColor="text1"/>
          <w:lang w:val="en-US"/>
        </w:rPr>
        <w:t xml:space="preserve">emographic characteristics of the study </w:t>
      </w:r>
      <w:r w:rsidRPr="00004507">
        <w:rPr>
          <w:rFonts w:ascii="Arial" w:hAnsi="Arial" w:cs="Arial"/>
          <w:color w:val="000000" w:themeColor="text1"/>
          <w:lang w:val="en-US"/>
        </w:rPr>
        <w:t>participants are</w:t>
      </w:r>
      <w:r w:rsidR="00B9482F" w:rsidRPr="00004507">
        <w:rPr>
          <w:rFonts w:ascii="Arial" w:hAnsi="Arial" w:cs="Arial"/>
          <w:color w:val="000000" w:themeColor="text1"/>
          <w:lang w:val="en-US"/>
        </w:rPr>
        <w:t xml:space="preserve"> given in Table 1.</w:t>
      </w:r>
      <w:r w:rsidR="00A178EE" w:rsidRPr="00004507">
        <w:rPr>
          <w:rFonts w:ascii="Arial" w:hAnsi="Arial" w:cs="Arial"/>
          <w:color w:val="000000" w:themeColor="text1"/>
          <w:lang w:val="en-US"/>
        </w:rPr>
        <w:t xml:space="preserve"> </w:t>
      </w:r>
      <w:r w:rsidRPr="00004507">
        <w:rPr>
          <w:rFonts w:ascii="Arial" w:hAnsi="Arial" w:cs="Arial"/>
          <w:color w:val="000000" w:themeColor="text1"/>
          <w:lang w:val="en-US"/>
        </w:rPr>
        <w:t>The m</w:t>
      </w:r>
      <w:r w:rsidR="00A178EE" w:rsidRPr="00004507">
        <w:rPr>
          <w:rFonts w:ascii="Arial" w:hAnsi="Arial" w:cs="Arial"/>
          <w:color w:val="000000" w:themeColor="text1"/>
          <w:lang w:val="en-US"/>
        </w:rPr>
        <w:t>ean age</w:t>
      </w:r>
      <w:r w:rsidRPr="00004507">
        <w:rPr>
          <w:rFonts w:ascii="Arial" w:hAnsi="Arial" w:cs="Arial"/>
          <w:color w:val="000000" w:themeColor="text1"/>
          <w:lang w:val="en-US"/>
        </w:rPr>
        <w:t>s</w:t>
      </w:r>
      <w:r w:rsidR="000F2248" w:rsidRPr="00004507">
        <w:rPr>
          <w:rFonts w:ascii="Arial" w:hAnsi="Arial" w:cs="Arial"/>
          <w:color w:val="000000" w:themeColor="text1"/>
          <w:lang w:val="en-US"/>
        </w:rPr>
        <w:t xml:space="preserve"> in the PEG, PEX and control groups</w:t>
      </w:r>
      <w:r w:rsidRPr="00004507">
        <w:rPr>
          <w:rFonts w:ascii="Arial" w:hAnsi="Arial" w:cs="Arial"/>
          <w:color w:val="000000" w:themeColor="text1"/>
          <w:lang w:val="en-US"/>
        </w:rPr>
        <w:t xml:space="preserve"> were</w:t>
      </w:r>
      <w:r w:rsidR="00A178EE" w:rsidRPr="00004507">
        <w:rPr>
          <w:rFonts w:ascii="Arial" w:hAnsi="Arial" w:cs="Arial"/>
          <w:color w:val="000000" w:themeColor="text1"/>
          <w:lang w:val="en-US"/>
        </w:rPr>
        <w:t xml:space="preserve"> 73.7± 8.3, 70.4 ± 7.1 and 68.9 ± 9.8, </w:t>
      </w:r>
      <w:r w:rsidR="000F2248" w:rsidRPr="00004507">
        <w:rPr>
          <w:rFonts w:ascii="Arial" w:hAnsi="Arial" w:cs="Arial"/>
          <w:color w:val="000000" w:themeColor="text1"/>
          <w:lang w:val="en-US"/>
        </w:rPr>
        <w:t xml:space="preserve">respectively, </w:t>
      </w:r>
      <w:r w:rsidR="00A178EE" w:rsidRPr="00004507">
        <w:rPr>
          <w:rFonts w:ascii="Arial" w:hAnsi="Arial" w:cs="Arial"/>
          <w:color w:val="000000" w:themeColor="text1"/>
          <w:lang w:val="en-US"/>
        </w:rPr>
        <w:t>and the percentage</w:t>
      </w:r>
      <w:r w:rsidR="000F2248" w:rsidRPr="00004507">
        <w:rPr>
          <w:rFonts w:ascii="Arial" w:hAnsi="Arial" w:cs="Arial"/>
          <w:color w:val="000000" w:themeColor="text1"/>
          <w:lang w:val="en-US"/>
        </w:rPr>
        <w:t>s of male subjects were</w:t>
      </w:r>
      <w:r w:rsidR="00A178EE" w:rsidRPr="00004507">
        <w:rPr>
          <w:rFonts w:ascii="Arial" w:hAnsi="Arial" w:cs="Arial"/>
          <w:color w:val="000000" w:themeColor="text1"/>
          <w:lang w:val="en-US"/>
        </w:rPr>
        <w:t xml:space="preserve"> 57.3</w:t>
      </w:r>
      <w:r w:rsidR="000F2248" w:rsidRPr="00004507">
        <w:rPr>
          <w:rFonts w:ascii="Arial" w:hAnsi="Arial" w:cs="Arial"/>
          <w:color w:val="000000" w:themeColor="text1"/>
          <w:lang w:val="en-US"/>
        </w:rPr>
        <w:t>%</w:t>
      </w:r>
      <w:r w:rsidR="00A178EE" w:rsidRPr="00004507">
        <w:rPr>
          <w:rFonts w:ascii="Arial" w:hAnsi="Arial" w:cs="Arial"/>
          <w:color w:val="000000" w:themeColor="text1"/>
          <w:lang w:val="en-US"/>
        </w:rPr>
        <w:t>, 50.7</w:t>
      </w:r>
      <w:r w:rsidR="000F2248" w:rsidRPr="00004507">
        <w:rPr>
          <w:rFonts w:ascii="Arial" w:hAnsi="Arial" w:cs="Arial"/>
          <w:color w:val="000000" w:themeColor="text1"/>
          <w:lang w:val="en-US"/>
        </w:rPr>
        <w:t>%</w:t>
      </w:r>
      <w:r w:rsidR="00A178EE" w:rsidRPr="00004507">
        <w:rPr>
          <w:rFonts w:ascii="Arial" w:hAnsi="Arial" w:cs="Arial"/>
          <w:color w:val="000000" w:themeColor="text1"/>
          <w:lang w:val="en-US"/>
        </w:rPr>
        <w:t xml:space="preserve"> and 52</w:t>
      </w:r>
      <w:r w:rsidR="000F2248" w:rsidRPr="00004507">
        <w:rPr>
          <w:rFonts w:ascii="Arial" w:hAnsi="Arial" w:cs="Arial"/>
          <w:color w:val="000000" w:themeColor="text1"/>
          <w:lang w:val="en-US"/>
        </w:rPr>
        <w:t>%</w:t>
      </w:r>
      <w:r w:rsidR="00A178EE" w:rsidRPr="00004507">
        <w:rPr>
          <w:rFonts w:ascii="Arial" w:hAnsi="Arial" w:cs="Arial"/>
          <w:color w:val="000000" w:themeColor="text1"/>
          <w:lang w:val="en-US"/>
        </w:rPr>
        <w:t>, respectively.</w:t>
      </w:r>
      <w:r w:rsidR="004F4087" w:rsidRPr="00004507">
        <w:rPr>
          <w:rFonts w:ascii="Arial" w:hAnsi="Arial" w:cs="Arial"/>
          <w:color w:val="000000" w:themeColor="text1"/>
          <w:lang w:val="en-US"/>
        </w:rPr>
        <w:t xml:space="preserve"> </w:t>
      </w:r>
      <w:r w:rsidR="00C1634C" w:rsidRPr="00004507">
        <w:rPr>
          <w:rFonts w:ascii="Arial" w:hAnsi="Arial" w:cs="Arial"/>
          <w:color w:val="000000" w:themeColor="text1"/>
          <w:lang w:val="en-US"/>
        </w:rPr>
        <w:t>Information about s</w:t>
      </w:r>
      <w:r w:rsidR="00271FCC" w:rsidRPr="00004507">
        <w:rPr>
          <w:rFonts w:ascii="Arial" w:hAnsi="Arial" w:cs="Arial"/>
          <w:color w:val="000000" w:themeColor="text1"/>
          <w:lang w:val="en-US"/>
        </w:rPr>
        <w:t xml:space="preserve">ystemic hypertension, diabetes, </w:t>
      </w:r>
      <w:r w:rsidR="00C1634C" w:rsidRPr="00004507">
        <w:rPr>
          <w:rFonts w:ascii="Arial" w:hAnsi="Arial" w:cs="Arial"/>
          <w:color w:val="000000" w:themeColor="text1"/>
          <w:lang w:val="en-US"/>
        </w:rPr>
        <w:t xml:space="preserve">and </w:t>
      </w:r>
      <w:r w:rsidR="00271FCC" w:rsidRPr="00004507">
        <w:rPr>
          <w:rFonts w:ascii="Arial" w:hAnsi="Arial" w:cs="Arial"/>
          <w:color w:val="000000" w:themeColor="text1"/>
          <w:lang w:val="en-US"/>
        </w:rPr>
        <w:t>smoking</w:t>
      </w:r>
      <w:r w:rsidR="00C1634C" w:rsidRPr="00004507">
        <w:rPr>
          <w:rFonts w:ascii="Arial" w:hAnsi="Arial" w:cs="Arial"/>
          <w:color w:val="000000" w:themeColor="text1"/>
          <w:lang w:val="en-US"/>
        </w:rPr>
        <w:t xml:space="preserve"> status</w:t>
      </w:r>
      <w:r w:rsidR="00702EEF" w:rsidRPr="00004507">
        <w:rPr>
          <w:rFonts w:ascii="Arial" w:hAnsi="Arial" w:cs="Arial"/>
          <w:color w:val="000000" w:themeColor="text1"/>
          <w:lang w:val="en-US"/>
        </w:rPr>
        <w:t xml:space="preserve"> is also included in</w:t>
      </w:r>
      <w:r w:rsidR="00C1634C" w:rsidRPr="00004507">
        <w:rPr>
          <w:rFonts w:ascii="Arial" w:hAnsi="Arial" w:cs="Arial"/>
          <w:color w:val="000000" w:themeColor="text1"/>
          <w:lang w:val="en-US"/>
        </w:rPr>
        <w:t xml:space="preserve"> Table 1. </w:t>
      </w:r>
      <w:r w:rsidR="004F7554" w:rsidRPr="00004507">
        <w:rPr>
          <w:rFonts w:ascii="Arial" w:hAnsi="Arial" w:cs="Arial"/>
          <w:color w:val="000000" w:themeColor="text1"/>
          <w:lang w:val="en-US"/>
        </w:rPr>
        <w:t xml:space="preserve">Hypertension was defined </w:t>
      </w:r>
      <w:r w:rsidR="008908F0" w:rsidRPr="00004507">
        <w:rPr>
          <w:rFonts w:ascii="Arial" w:hAnsi="Arial" w:cs="Arial"/>
          <w:color w:val="000000" w:themeColor="text1"/>
          <w:lang w:val="en-US"/>
        </w:rPr>
        <w:t xml:space="preserve">in subjects with </w:t>
      </w:r>
      <w:r w:rsidR="004F7554" w:rsidRPr="00004507">
        <w:rPr>
          <w:rFonts w:ascii="Arial" w:hAnsi="Arial" w:cs="Arial"/>
          <w:color w:val="000000" w:themeColor="text1"/>
          <w:lang w:val="en-US"/>
        </w:rPr>
        <w:t>systolic blood pressure</w:t>
      </w:r>
      <w:r w:rsidR="00C1634C"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&gt;</w:t>
      </w:r>
      <w:r w:rsidR="008908F0"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140</w:t>
      </w:r>
      <w:r w:rsidR="008908F0"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mmHg and/or diastolic blood pressure</w:t>
      </w:r>
      <w:r w:rsidR="008274C1"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&gt;</w:t>
      </w:r>
      <w:r w:rsidR="008908F0"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90</w:t>
      </w:r>
      <w:r w:rsidR="00F3257F"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mmHg</w:t>
      </w:r>
      <w:r w:rsidR="00C1634C"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and/or use of antihypertensive drugs. Diabetes was defined</w:t>
      </w:r>
      <w:r w:rsidR="00C1634C"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as fasting glucose</w:t>
      </w:r>
      <w:r w:rsidR="008908F0" w:rsidRPr="00004507">
        <w:rPr>
          <w:rFonts w:ascii="Arial" w:hAnsi="Arial" w:cs="Arial"/>
          <w:color w:val="000000" w:themeColor="text1"/>
          <w:lang w:val="en-US"/>
        </w:rPr>
        <w:t xml:space="preserve"> levels</w:t>
      </w:r>
      <w:r w:rsidR="004F7554" w:rsidRPr="00004507">
        <w:rPr>
          <w:rFonts w:ascii="Arial" w:hAnsi="Arial" w:cs="Arial"/>
          <w:color w:val="000000" w:themeColor="text1"/>
          <w:lang w:val="en-US"/>
        </w:rPr>
        <w:t xml:space="preserve"> </w:t>
      </w:r>
      <w:r w:rsidR="00C1634C" w:rsidRPr="00004507">
        <w:rPr>
          <w:rFonts w:ascii="Arial" w:hAnsi="Arial" w:cs="Arial"/>
          <w:color w:val="000000" w:themeColor="text1"/>
          <w:shd w:val="clear" w:color="auto" w:fill="FFFFFF"/>
          <w:lang w:val="en-US"/>
        </w:rPr>
        <w:t xml:space="preserve">≥ </w:t>
      </w:r>
      <w:proofErr w:type="gramStart"/>
      <w:r w:rsidR="004F7554" w:rsidRPr="00004507">
        <w:rPr>
          <w:rFonts w:ascii="Arial" w:hAnsi="Arial" w:cs="Arial"/>
          <w:color w:val="000000" w:themeColor="text1"/>
          <w:lang w:val="en-US"/>
        </w:rPr>
        <w:t xml:space="preserve">6.99 </w:t>
      </w:r>
      <w:proofErr w:type="spellStart"/>
      <w:r w:rsidR="004F7554" w:rsidRPr="00004507">
        <w:rPr>
          <w:rFonts w:ascii="Arial" w:hAnsi="Arial" w:cs="Arial"/>
          <w:color w:val="000000" w:themeColor="text1"/>
          <w:lang w:val="en-US"/>
        </w:rPr>
        <w:t>mmol</w:t>
      </w:r>
      <w:proofErr w:type="spellEnd"/>
      <w:r w:rsidR="004F7554" w:rsidRPr="00004507">
        <w:rPr>
          <w:rFonts w:ascii="Arial" w:hAnsi="Arial" w:cs="Arial"/>
          <w:color w:val="000000" w:themeColor="text1"/>
          <w:lang w:val="en-US"/>
        </w:rPr>
        <w:t>/L</w:t>
      </w:r>
      <w:proofErr w:type="gramEnd"/>
      <w:r w:rsidR="004F7554" w:rsidRPr="00004507">
        <w:rPr>
          <w:rFonts w:ascii="Arial" w:hAnsi="Arial" w:cs="Arial"/>
          <w:color w:val="000000" w:themeColor="text1"/>
          <w:lang w:val="en-US"/>
        </w:rPr>
        <w:t xml:space="preserve"> and/or use of pharmacological</w:t>
      </w:r>
      <w:r w:rsidR="00C1634C"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 xml:space="preserve">treatment. </w:t>
      </w:r>
      <w:r w:rsidR="00C1634C" w:rsidRPr="00004507">
        <w:rPr>
          <w:rFonts w:ascii="Arial" w:hAnsi="Arial" w:cs="Arial"/>
          <w:color w:val="000000" w:themeColor="text1"/>
          <w:lang w:val="en-US"/>
        </w:rPr>
        <w:t xml:space="preserve"> </w:t>
      </w:r>
      <w:r w:rsidR="004F7554" w:rsidRPr="00004507">
        <w:rPr>
          <w:rFonts w:ascii="Arial" w:hAnsi="Arial" w:cs="Arial"/>
          <w:color w:val="000000" w:themeColor="text1"/>
          <w:lang w:val="en-US"/>
        </w:rPr>
        <w:t>Smoking status was</w:t>
      </w:r>
      <w:r w:rsidR="00C1634C" w:rsidRPr="00004507">
        <w:rPr>
          <w:rFonts w:ascii="Arial" w:hAnsi="Arial" w:cs="Arial"/>
          <w:color w:val="000000" w:themeColor="text1"/>
          <w:lang w:val="en-US"/>
        </w:rPr>
        <w:t xml:space="preserve"> </w:t>
      </w:r>
      <w:r w:rsidR="008908F0" w:rsidRPr="00004507">
        <w:rPr>
          <w:rFonts w:ascii="Arial" w:hAnsi="Arial" w:cs="Arial"/>
          <w:color w:val="000000" w:themeColor="text1"/>
          <w:lang w:val="en-US"/>
        </w:rPr>
        <w:t>assigned “yes” if the individual wa</w:t>
      </w:r>
      <w:r w:rsidR="004F7554" w:rsidRPr="00004507">
        <w:rPr>
          <w:rFonts w:ascii="Arial" w:hAnsi="Arial" w:cs="Arial"/>
          <w:color w:val="000000" w:themeColor="text1"/>
          <w:lang w:val="en-US"/>
        </w:rPr>
        <w:t xml:space="preserve">s currently smoking or </w:t>
      </w:r>
      <w:r w:rsidR="008908F0" w:rsidRPr="00004507">
        <w:rPr>
          <w:rFonts w:ascii="Arial" w:hAnsi="Arial" w:cs="Arial"/>
          <w:color w:val="000000" w:themeColor="text1"/>
          <w:lang w:val="en-US"/>
        </w:rPr>
        <w:t>quit</w:t>
      </w:r>
      <w:r w:rsidR="004F7554" w:rsidRPr="00004507">
        <w:rPr>
          <w:rFonts w:ascii="Arial" w:hAnsi="Arial" w:cs="Arial"/>
          <w:color w:val="000000" w:themeColor="text1"/>
          <w:lang w:val="en-US"/>
        </w:rPr>
        <w:t xml:space="preserve"> less than 3 months </w:t>
      </w:r>
      <w:r w:rsidR="008908F0" w:rsidRPr="00004507">
        <w:rPr>
          <w:rFonts w:ascii="Arial" w:hAnsi="Arial" w:cs="Arial"/>
          <w:color w:val="000000" w:themeColor="text1"/>
          <w:lang w:val="en-US"/>
        </w:rPr>
        <w:t>previously.</w:t>
      </w:r>
      <w:r w:rsidR="00C1634C" w:rsidRPr="00004507">
        <w:rPr>
          <w:rFonts w:ascii="Arial" w:hAnsi="Arial" w:cs="Arial"/>
          <w:color w:val="000000" w:themeColor="text1"/>
          <w:lang w:val="en-US"/>
        </w:rPr>
        <w:t xml:space="preserve"> No significant difference was found</w:t>
      </w:r>
      <w:r w:rsidR="008274C1" w:rsidRPr="00004507">
        <w:rPr>
          <w:rFonts w:ascii="Arial" w:hAnsi="Arial" w:cs="Arial"/>
          <w:color w:val="000000" w:themeColor="text1"/>
          <w:lang w:val="en-US"/>
        </w:rPr>
        <w:t xml:space="preserve"> </w:t>
      </w:r>
      <w:r w:rsidR="00F3257F" w:rsidRPr="00004507">
        <w:rPr>
          <w:rFonts w:ascii="Arial" w:hAnsi="Arial" w:cs="Arial"/>
          <w:color w:val="000000" w:themeColor="text1"/>
          <w:lang w:val="en-US"/>
        </w:rPr>
        <w:t>between</w:t>
      </w:r>
      <w:r w:rsidR="008274C1" w:rsidRPr="00004507">
        <w:rPr>
          <w:rFonts w:ascii="Arial" w:hAnsi="Arial" w:cs="Arial"/>
          <w:color w:val="000000" w:themeColor="text1"/>
          <w:lang w:val="en-US"/>
        </w:rPr>
        <w:t xml:space="preserve"> the study groups</w:t>
      </w:r>
      <w:r w:rsidR="00C1634C" w:rsidRPr="00004507">
        <w:rPr>
          <w:rFonts w:ascii="Arial" w:hAnsi="Arial" w:cs="Arial"/>
          <w:color w:val="000000" w:themeColor="text1"/>
          <w:lang w:val="en-US"/>
        </w:rPr>
        <w:t xml:space="preserve"> in terms of the prevalence of hyp</w:t>
      </w:r>
      <w:r w:rsidR="00F3257F" w:rsidRPr="00004507">
        <w:rPr>
          <w:rFonts w:ascii="Arial" w:hAnsi="Arial" w:cs="Arial"/>
          <w:color w:val="000000" w:themeColor="text1"/>
          <w:lang w:val="en-US"/>
        </w:rPr>
        <w:t>ertension, diabetes or</w:t>
      </w:r>
      <w:r w:rsidR="008274C1" w:rsidRPr="00004507">
        <w:rPr>
          <w:rFonts w:ascii="Arial" w:hAnsi="Arial" w:cs="Arial"/>
          <w:color w:val="000000" w:themeColor="text1"/>
          <w:lang w:val="en-US"/>
        </w:rPr>
        <w:t xml:space="preserve"> smoking.</w:t>
      </w:r>
      <w:r w:rsidR="008F28F0" w:rsidRPr="00004507">
        <w:rPr>
          <w:rFonts w:ascii="Arial" w:hAnsi="Arial" w:cs="Arial"/>
          <w:color w:val="000000" w:themeColor="text1"/>
          <w:lang w:val="en-US"/>
        </w:rPr>
        <w:t xml:space="preserve"> </w:t>
      </w:r>
    </w:p>
    <w:p w14:paraId="1B975C28" w14:textId="00451721" w:rsidR="00123B67" w:rsidRPr="00004507" w:rsidRDefault="004C20F4" w:rsidP="00C15EA2">
      <w:pPr>
        <w:autoSpaceDE w:val="0"/>
        <w:autoSpaceDN w:val="0"/>
        <w:adjustRightInd w:val="0"/>
        <w:spacing w:line="276" w:lineRule="auto"/>
        <w:jc w:val="both"/>
        <w:rPr>
          <w:rFonts w:ascii="Arial" w:hAnsi="Arial" w:cs="Arial"/>
          <w:color w:val="000000" w:themeColor="text1"/>
          <w:lang w:val="en-US"/>
        </w:rPr>
      </w:pPr>
      <w:r w:rsidRPr="00004507">
        <w:rPr>
          <w:rFonts w:ascii="Arial" w:hAnsi="Arial" w:cs="Arial"/>
          <w:color w:val="000000" w:themeColor="text1"/>
          <w:lang w:val="en-US"/>
        </w:rPr>
        <w:lastRenderedPageBreak/>
        <w:t>Visual field score (VFS),</w:t>
      </w:r>
      <w:r w:rsidR="00391CDC" w:rsidRPr="00004507">
        <w:rPr>
          <w:rFonts w:ascii="Arial" w:hAnsi="Arial" w:cs="Arial"/>
          <w:color w:val="000000" w:themeColor="text1"/>
          <w:lang w:val="en-US"/>
        </w:rPr>
        <w:t xml:space="preserve"> mean deviation (MD)</w:t>
      </w:r>
      <w:r w:rsidR="00F542B7" w:rsidRPr="00004507">
        <w:rPr>
          <w:rFonts w:ascii="Arial" w:hAnsi="Arial" w:cs="Arial"/>
          <w:color w:val="000000" w:themeColor="text1"/>
          <w:lang w:val="en-US"/>
        </w:rPr>
        <w:t>,</w:t>
      </w:r>
      <w:r w:rsidR="00391CDC" w:rsidRPr="00004507">
        <w:rPr>
          <w:rFonts w:ascii="Arial" w:hAnsi="Arial" w:cs="Arial"/>
          <w:color w:val="000000" w:themeColor="text1"/>
          <w:lang w:val="en-US"/>
        </w:rPr>
        <w:t xml:space="preserve"> and pattern standard deviation (PSD) values </w:t>
      </w:r>
      <w:r w:rsidR="00F542B7" w:rsidRPr="00004507">
        <w:rPr>
          <w:rFonts w:ascii="Arial" w:hAnsi="Arial" w:cs="Arial"/>
          <w:color w:val="000000" w:themeColor="text1"/>
          <w:lang w:val="en-US"/>
        </w:rPr>
        <w:t>are</w:t>
      </w:r>
      <w:r w:rsidR="00391CDC" w:rsidRPr="00004507">
        <w:rPr>
          <w:rFonts w:ascii="Arial" w:hAnsi="Arial" w:cs="Arial"/>
          <w:color w:val="000000" w:themeColor="text1"/>
          <w:lang w:val="en-US"/>
        </w:rPr>
        <w:t xml:space="preserve"> also given in Table 1. </w:t>
      </w:r>
      <w:r w:rsidR="00F542B7" w:rsidRPr="00004507">
        <w:rPr>
          <w:rFonts w:ascii="Arial" w:hAnsi="Arial" w:cs="Arial"/>
          <w:color w:val="000000" w:themeColor="text1"/>
          <w:lang w:val="en-US"/>
        </w:rPr>
        <w:t>The v</w:t>
      </w:r>
      <w:r w:rsidR="00123B67" w:rsidRPr="00004507">
        <w:rPr>
          <w:rFonts w:ascii="Arial" w:hAnsi="Arial" w:cs="Arial"/>
          <w:color w:val="000000" w:themeColor="text1"/>
          <w:lang w:val="en-US"/>
        </w:rPr>
        <w:t xml:space="preserve">isual field was staged using </w:t>
      </w:r>
      <w:r w:rsidR="008A06BF" w:rsidRPr="00004507">
        <w:rPr>
          <w:rFonts w:ascii="Arial" w:hAnsi="Arial" w:cs="Arial"/>
          <w:bCs/>
          <w:color w:val="000000" w:themeColor="text1"/>
          <w:lang w:val="en-US"/>
        </w:rPr>
        <w:t>t</w:t>
      </w:r>
      <w:r w:rsidR="00C40417" w:rsidRPr="00004507">
        <w:rPr>
          <w:rFonts w:ascii="Arial" w:hAnsi="Arial" w:cs="Arial"/>
          <w:bCs/>
          <w:color w:val="000000" w:themeColor="text1"/>
          <w:lang w:val="en-US"/>
        </w:rPr>
        <w:t xml:space="preserve">he Advanced Glaucoma Intervention Study scoring system </w:t>
      </w:r>
      <w:r w:rsidR="00D407CC" w:rsidRPr="00004507">
        <w:rPr>
          <w:rFonts w:ascii="Arial" w:hAnsi="Arial" w:cs="Arial"/>
          <w:bCs/>
          <w:color w:val="000000" w:themeColor="text1"/>
          <w:lang w:val="en-US"/>
        </w:rPr>
        <w:t>[</w:t>
      </w:r>
      <w:r w:rsidR="007674E2" w:rsidRPr="00004507">
        <w:rPr>
          <w:rFonts w:ascii="Arial" w:hAnsi="Arial" w:cs="Arial"/>
          <w:bCs/>
          <w:color w:val="000000" w:themeColor="text1"/>
          <w:lang w:val="en-US"/>
        </w:rPr>
        <w:t>31</w:t>
      </w:r>
      <w:r w:rsidR="00D407CC" w:rsidRPr="00004507">
        <w:rPr>
          <w:rFonts w:ascii="Arial" w:hAnsi="Arial" w:cs="Arial"/>
          <w:bCs/>
          <w:color w:val="000000" w:themeColor="text1"/>
          <w:lang w:val="en-US"/>
        </w:rPr>
        <w:t>]</w:t>
      </w:r>
      <w:r w:rsidR="008A06BF" w:rsidRPr="00004507">
        <w:rPr>
          <w:rFonts w:ascii="Arial" w:hAnsi="Arial" w:cs="Arial"/>
          <w:bCs/>
          <w:color w:val="000000" w:themeColor="text1"/>
          <w:lang w:val="en-US"/>
        </w:rPr>
        <w:t>, which takes into consideration</w:t>
      </w:r>
      <w:r w:rsidR="00CD2432" w:rsidRPr="00004507">
        <w:rPr>
          <w:rFonts w:ascii="Arial" w:hAnsi="Arial" w:cs="Arial"/>
          <w:color w:val="000000" w:themeColor="text1"/>
          <w:lang w:val="en-US"/>
        </w:rPr>
        <w:t xml:space="preserve"> the number and depth of neighboring depressed test locations on</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the total deviation plot in the nasal area, upper</w:t>
      </w:r>
      <w:r w:rsidR="00303A9D" w:rsidRPr="00004507">
        <w:rPr>
          <w:rFonts w:ascii="Arial" w:hAnsi="Arial" w:cs="Arial"/>
          <w:color w:val="000000" w:themeColor="text1"/>
          <w:lang w:val="en-US"/>
        </w:rPr>
        <w:t xml:space="preserve"> </w:t>
      </w:r>
      <w:proofErr w:type="spellStart"/>
      <w:r w:rsidR="00303A9D" w:rsidRPr="00004507">
        <w:rPr>
          <w:rFonts w:ascii="Arial" w:hAnsi="Arial" w:cs="Arial"/>
          <w:color w:val="000000" w:themeColor="text1"/>
          <w:lang w:val="en-US"/>
        </w:rPr>
        <w:t>hemifield</w:t>
      </w:r>
      <w:proofErr w:type="spellEnd"/>
      <w:r w:rsidR="00303A9D" w:rsidRPr="00004507">
        <w:rPr>
          <w:rFonts w:ascii="Arial" w:hAnsi="Arial" w:cs="Arial"/>
          <w:color w:val="000000" w:themeColor="text1"/>
          <w:lang w:val="en-US"/>
        </w:rPr>
        <w:t xml:space="preserve">, and lower </w:t>
      </w:r>
      <w:proofErr w:type="spellStart"/>
      <w:r w:rsidR="00303A9D" w:rsidRPr="00004507">
        <w:rPr>
          <w:rFonts w:ascii="Arial" w:hAnsi="Arial" w:cs="Arial"/>
          <w:color w:val="000000" w:themeColor="text1"/>
          <w:lang w:val="en-US"/>
        </w:rPr>
        <w:t>hemifield</w:t>
      </w:r>
      <w:proofErr w:type="spellEnd"/>
      <w:r w:rsidR="00E03988" w:rsidRPr="00004507">
        <w:rPr>
          <w:rFonts w:ascii="Arial" w:hAnsi="Arial" w:cs="Arial"/>
          <w:color w:val="000000" w:themeColor="text1"/>
          <w:lang w:val="en-US"/>
        </w:rPr>
        <w:t xml:space="preserve">, </w:t>
      </w:r>
      <w:r w:rsidR="00B20DA8" w:rsidRPr="00004507">
        <w:rPr>
          <w:rFonts w:ascii="Arial" w:hAnsi="Arial" w:cs="Arial"/>
          <w:color w:val="000000" w:themeColor="text1"/>
          <w:lang w:val="en-US"/>
        </w:rPr>
        <w:t>dividing the visual field</w:t>
      </w:r>
      <w:r w:rsidR="00CD2432" w:rsidRPr="00004507">
        <w:rPr>
          <w:rFonts w:ascii="Arial" w:hAnsi="Arial" w:cs="Arial"/>
          <w:color w:val="000000" w:themeColor="text1"/>
          <w:lang w:val="en-US"/>
        </w:rPr>
        <w:t xml:space="preserve"> into 4 concentric-like regions, w</w:t>
      </w:r>
      <w:r w:rsidR="00B20DA8" w:rsidRPr="00004507">
        <w:rPr>
          <w:rFonts w:ascii="Arial" w:hAnsi="Arial" w:cs="Arial"/>
          <w:color w:val="000000" w:themeColor="text1"/>
          <w:lang w:val="en-US"/>
        </w:rPr>
        <w:t xml:space="preserve">ith </w:t>
      </w:r>
      <w:r w:rsidR="00CD2432" w:rsidRPr="00004507">
        <w:rPr>
          <w:rFonts w:ascii="Arial" w:hAnsi="Arial" w:cs="Arial"/>
          <w:color w:val="000000" w:themeColor="text1"/>
          <w:lang w:val="en-US"/>
        </w:rPr>
        <w:t>the outermost</w:t>
      </w:r>
      <w:r w:rsidR="00303A9D" w:rsidRPr="00004507">
        <w:rPr>
          <w:rFonts w:ascii="Arial" w:hAnsi="Arial" w:cs="Arial"/>
          <w:color w:val="000000" w:themeColor="text1"/>
          <w:lang w:val="en-US"/>
        </w:rPr>
        <w:t xml:space="preserve"> </w:t>
      </w:r>
      <w:r w:rsidR="00B20DA8" w:rsidRPr="00004507">
        <w:rPr>
          <w:rFonts w:ascii="Arial" w:hAnsi="Arial" w:cs="Arial"/>
          <w:color w:val="000000" w:themeColor="text1"/>
          <w:lang w:val="en-US"/>
        </w:rPr>
        <w:t>being the</w:t>
      </w:r>
      <w:r w:rsidR="00CD2432" w:rsidRPr="00004507">
        <w:rPr>
          <w:rFonts w:ascii="Arial" w:hAnsi="Arial" w:cs="Arial"/>
          <w:color w:val="000000" w:themeColor="text1"/>
          <w:lang w:val="en-US"/>
        </w:rPr>
        <w:t xml:space="preserve"> most sensitive to a depression. Each visual field is given a score between 0 and 20,</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where 0 indicates that no defective points were measured</w:t>
      </w:r>
      <w:r w:rsidR="00B20DA8" w:rsidRPr="00004507">
        <w:rPr>
          <w:rFonts w:ascii="Arial" w:hAnsi="Arial" w:cs="Arial"/>
          <w:color w:val="000000" w:themeColor="text1"/>
          <w:lang w:val="en-US"/>
        </w:rPr>
        <w:t>,</w:t>
      </w:r>
      <w:r w:rsidR="00CD2432" w:rsidRPr="00004507">
        <w:rPr>
          <w:rFonts w:ascii="Arial" w:hAnsi="Arial" w:cs="Arial"/>
          <w:color w:val="000000" w:themeColor="text1"/>
          <w:lang w:val="en-US"/>
        </w:rPr>
        <w:t xml:space="preserve"> and 20 indicates that at</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 xml:space="preserve">least 2 depressed locations in the nasal area and 9 depressed locations in each </w:t>
      </w:r>
      <w:proofErr w:type="spellStart"/>
      <w:r w:rsidR="00CD2432" w:rsidRPr="00004507">
        <w:rPr>
          <w:rFonts w:ascii="Arial" w:hAnsi="Arial" w:cs="Arial"/>
          <w:color w:val="000000" w:themeColor="text1"/>
          <w:lang w:val="en-US"/>
        </w:rPr>
        <w:t>hemifield</w:t>
      </w:r>
      <w:proofErr w:type="spellEnd"/>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 xml:space="preserve">were measured. The </w:t>
      </w:r>
      <w:r w:rsidR="00B20DA8" w:rsidRPr="00004507">
        <w:rPr>
          <w:rFonts w:ascii="Arial" w:hAnsi="Arial" w:cs="Arial"/>
          <w:lang w:val="en-US"/>
        </w:rPr>
        <w:t>healthiness</w:t>
      </w:r>
      <w:r w:rsidR="00CD2432" w:rsidRPr="00004507">
        <w:rPr>
          <w:rFonts w:ascii="Arial" w:hAnsi="Arial" w:cs="Arial"/>
          <w:color w:val="000000" w:themeColor="text1"/>
          <w:lang w:val="en-US"/>
        </w:rPr>
        <w:t xml:space="preserve"> of a visual field is </w:t>
      </w:r>
      <w:r w:rsidR="00B20DA8" w:rsidRPr="00004507">
        <w:rPr>
          <w:rFonts w:ascii="Arial" w:hAnsi="Arial" w:cs="Arial"/>
          <w:color w:val="000000" w:themeColor="text1"/>
          <w:lang w:val="en-US"/>
        </w:rPr>
        <w:t>categorized</w:t>
      </w:r>
      <w:r w:rsidR="00CD2432" w:rsidRPr="00004507">
        <w:rPr>
          <w:rFonts w:ascii="Arial" w:hAnsi="Arial" w:cs="Arial"/>
          <w:color w:val="000000" w:themeColor="text1"/>
          <w:lang w:val="en-US"/>
        </w:rPr>
        <w:t xml:space="preserve"> based on this score:</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(i) a score of 0 is</w:t>
      </w:r>
      <w:r w:rsidR="00C63E2F" w:rsidRPr="00004507">
        <w:rPr>
          <w:rFonts w:ascii="Arial" w:hAnsi="Arial" w:cs="Arial"/>
          <w:color w:val="000000" w:themeColor="text1"/>
          <w:lang w:val="en-US"/>
        </w:rPr>
        <w:t xml:space="preserve"> a normal field, categorized as stage 1; (ii) scores </w:t>
      </w:r>
      <w:r w:rsidR="00CD2432" w:rsidRPr="00004507">
        <w:rPr>
          <w:rFonts w:ascii="Arial" w:hAnsi="Arial" w:cs="Arial"/>
          <w:color w:val="000000" w:themeColor="text1"/>
          <w:lang w:val="en-US"/>
        </w:rPr>
        <w:t>1–5 are fields with</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mild damage</w:t>
      </w:r>
      <w:r w:rsidR="00C63E2F" w:rsidRPr="00004507">
        <w:rPr>
          <w:rFonts w:ascii="Arial" w:hAnsi="Arial" w:cs="Arial"/>
          <w:color w:val="000000" w:themeColor="text1"/>
          <w:lang w:val="en-US"/>
        </w:rPr>
        <w:t>,</w:t>
      </w:r>
      <w:r w:rsidR="00CD2432" w:rsidRPr="00004507">
        <w:rPr>
          <w:rFonts w:ascii="Arial" w:hAnsi="Arial" w:cs="Arial"/>
          <w:color w:val="000000" w:themeColor="text1"/>
          <w:lang w:val="en-US"/>
        </w:rPr>
        <w:t xml:space="preserve"> categorized </w:t>
      </w:r>
      <w:r w:rsidR="00C63E2F" w:rsidRPr="00004507">
        <w:rPr>
          <w:rFonts w:ascii="Arial" w:hAnsi="Arial" w:cs="Arial"/>
          <w:color w:val="000000" w:themeColor="text1"/>
          <w:lang w:val="en-US"/>
        </w:rPr>
        <w:t>as</w:t>
      </w:r>
      <w:r w:rsidR="00CD2432" w:rsidRPr="00004507">
        <w:rPr>
          <w:rFonts w:ascii="Arial" w:hAnsi="Arial" w:cs="Arial"/>
          <w:color w:val="000000" w:themeColor="text1"/>
          <w:lang w:val="en-US"/>
        </w:rPr>
        <w:t xml:space="preserve"> stage 2; (iii) scores 6–11 are fields with moderate</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damage</w:t>
      </w:r>
      <w:r w:rsidR="00C63E2F" w:rsidRPr="00004507">
        <w:rPr>
          <w:rFonts w:ascii="Arial" w:hAnsi="Arial" w:cs="Arial"/>
          <w:color w:val="000000" w:themeColor="text1"/>
          <w:lang w:val="en-US"/>
        </w:rPr>
        <w:t>, categorized as</w:t>
      </w:r>
      <w:r w:rsidR="00CD2432" w:rsidRPr="00004507">
        <w:rPr>
          <w:rFonts w:ascii="Arial" w:hAnsi="Arial" w:cs="Arial"/>
          <w:color w:val="000000" w:themeColor="text1"/>
          <w:lang w:val="en-US"/>
        </w:rPr>
        <w:t xml:space="preserve"> stage 3; (iv) scores 12–17 are fields with severe damage</w:t>
      </w:r>
      <w:r w:rsidR="00C63E2F" w:rsidRPr="00004507">
        <w:rPr>
          <w:rFonts w:ascii="Arial" w:hAnsi="Arial" w:cs="Arial"/>
          <w:color w:val="000000" w:themeColor="text1"/>
          <w:lang w:val="en-US"/>
        </w:rPr>
        <w:t>,</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 xml:space="preserve">categorized </w:t>
      </w:r>
      <w:r w:rsidR="00C63E2F" w:rsidRPr="00004507">
        <w:rPr>
          <w:rFonts w:ascii="Arial" w:hAnsi="Arial" w:cs="Arial"/>
          <w:color w:val="000000" w:themeColor="text1"/>
          <w:lang w:val="en-US"/>
        </w:rPr>
        <w:t>as</w:t>
      </w:r>
      <w:r w:rsidR="00CD2432" w:rsidRPr="00004507">
        <w:rPr>
          <w:rFonts w:ascii="Arial" w:hAnsi="Arial" w:cs="Arial"/>
          <w:color w:val="000000" w:themeColor="text1"/>
          <w:lang w:val="en-US"/>
        </w:rPr>
        <w:t xml:space="preserve"> stage 4; (v) scores 18–20 are end-stage fields</w:t>
      </w:r>
      <w:r w:rsidR="00C63E2F" w:rsidRPr="00004507">
        <w:rPr>
          <w:rFonts w:ascii="Arial" w:hAnsi="Arial" w:cs="Arial"/>
          <w:color w:val="000000" w:themeColor="text1"/>
          <w:lang w:val="en-US"/>
        </w:rPr>
        <w:t>,</w:t>
      </w:r>
      <w:r w:rsidR="00CD2432" w:rsidRPr="00004507">
        <w:rPr>
          <w:rFonts w:ascii="Arial" w:hAnsi="Arial" w:cs="Arial"/>
          <w:color w:val="000000" w:themeColor="text1"/>
          <w:lang w:val="en-US"/>
        </w:rPr>
        <w:t xml:space="preserve"> categorized </w:t>
      </w:r>
      <w:r w:rsidR="00C63E2F" w:rsidRPr="00004507">
        <w:rPr>
          <w:rFonts w:ascii="Arial" w:hAnsi="Arial" w:cs="Arial"/>
          <w:color w:val="000000" w:themeColor="text1"/>
          <w:lang w:val="en-US"/>
        </w:rPr>
        <w:t>as</w:t>
      </w:r>
      <w:r w:rsidR="00CD2432" w:rsidRPr="00004507">
        <w:rPr>
          <w:rFonts w:ascii="Arial" w:hAnsi="Arial" w:cs="Arial"/>
          <w:color w:val="000000" w:themeColor="text1"/>
          <w:lang w:val="en-US"/>
        </w:rPr>
        <w:t xml:space="preserve"> stage 5.</w:t>
      </w:r>
      <w:r w:rsidR="00303A9D" w:rsidRPr="00004507">
        <w:rPr>
          <w:rFonts w:ascii="Arial" w:hAnsi="Arial" w:cs="Arial"/>
          <w:color w:val="000000" w:themeColor="text1"/>
          <w:lang w:val="en-US"/>
        </w:rPr>
        <w:t xml:space="preserve"> </w:t>
      </w:r>
      <w:r w:rsidR="00CD2432" w:rsidRPr="00004507">
        <w:rPr>
          <w:rFonts w:ascii="Arial" w:hAnsi="Arial" w:cs="Arial"/>
          <w:color w:val="000000" w:themeColor="text1"/>
          <w:lang w:val="en-US"/>
        </w:rPr>
        <w:t xml:space="preserve">All </w:t>
      </w:r>
      <w:r w:rsidR="00C63E2F" w:rsidRPr="00004507">
        <w:rPr>
          <w:rFonts w:ascii="Arial" w:hAnsi="Arial" w:cs="Arial"/>
          <w:color w:val="000000" w:themeColor="text1"/>
          <w:lang w:val="en-US"/>
        </w:rPr>
        <w:t xml:space="preserve">the </w:t>
      </w:r>
      <w:r w:rsidR="00CD2432" w:rsidRPr="00004507">
        <w:rPr>
          <w:rFonts w:ascii="Arial" w:hAnsi="Arial" w:cs="Arial"/>
          <w:color w:val="000000" w:themeColor="text1"/>
          <w:lang w:val="en-US"/>
        </w:rPr>
        <w:t xml:space="preserve">fields </w:t>
      </w:r>
      <w:r w:rsidR="00F45D74" w:rsidRPr="00004507">
        <w:rPr>
          <w:rFonts w:ascii="Arial" w:hAnsi="Arial" w:cs="Arial"/>
          <w:lang w:val="en-US"/>
        </w:rPr>
        <w:t xml:space="preserve">of the study participants </w:t>
      </w:r>
      <w:r w:rsidR="00CD2432" w:rsidRPr="00004507">
        <w:rPr>
          <w:rFonts w:ascii="Arial" w:hAnsi="Arial" w:cs="Arial"/>
          <w:color w:val="000000" w:themeColor="text1"/>
          <w:lang w:val="en-US"/>
        </w:rPr>
        <w:t>could be unambiguously classified.</w:t>
      </w:r>
      <w:r w:rsidR="00D012D9" w:rsidRPr="00004507">
        <w:rPr>
          <w:rFonts w:ascii="Arial" w:hAnsi="Arial" w:cs="Arial"/>
          <w:color w:val="000000" w:themeColor="text1"/>
          <w:lang w:val="en-US"/>
        </w:rPr>
        <w:t xml:space="preserve"> </w:t>
      </w:r>
    </w:p>
    <w:p w14:paraId="3D1FA1C3" w14:textId="33B5E510" w:rsidR="00C656E3" w:rsidRPr="00004507" w:rsidRDefault="00F45D74" w:rsidP="00C15EA2">
      <w:pPr>
        <w:autoSpaceDE w:val="0"/>
        <w:autoSpaceDN w:val="0"/>
        <w:adjustRightInd w:val="0"/>
        <w:spacing w:after="0" w:line="276" w:lineRule="auto"/>
        <w:jc w:val="both"/>
        <w:rPr>
          <w:rFonts w:ascii="Arial" w:eastAsia="TimesNewRomanPSMT" w:hAnsi="Arial" w:cs="Arial"/>
          <w:color w:val="000000" w:themeColor="text1"/>
          <w:lang w:val="en-US"/>
        </w:rPr>
      </w:pPr>
      <w:r w:rsidRPr="00004507">
        <w:rPr>
          <w:rFonts w:ascii="Arial" w:eastAsia="TimesNewRomanPSMT" w:hAnsi="Arial" w:cs="Arial"/>
          <w:color w:val="000000" w:themeColor="text1"/>
          <w:lang w:val="en-US"/>
        </w:rPr>
        <w:t>The e</w:t>
      </w:r>
      <w:r w:rsidR="003E3A12" w:rsidRPr="00004507">
        <w:rPr>
          <w:rFonts w:ascii="Arial" w:eastAsia="TimesNewRomanPSMT" w:hAnsi="Arial" w:cs="Arial"/>
          <w:color w:val="000000" w:themeColor="text1"/>
          <w:lang w:val="en-US"/>
        </w:rPr>
        <w:t xml:space="preserve">xclusion criteria were having </w:t>
      </w:r>
      <w:r w:rsidR="00C656E3" w:rsidRPr="00004507">
        <w:rPr>
          <w:rFonts w:ascii="Arial" w:eastAsia="TimesNewRomanPSMT" w:hAnsi="Arial" w:cs="Arial"/>
          <w:color w:val="000000" w:themeColor="text1"/>
          <w:lang w:val="en-US"/>
        </w:rPr>
        <w:t xml:space="preserve">other </w:t>
      </w:r>
      <w:r w:rsidR="00BA0EC9" w:rsidRPr="00004507">
        <w:rPr>
          <w:rFonts w:ascii="Arial" w:eastAsia="TimesNewRomanPSMT" w:hAnsi="Arial" w:cs="Arial"/>
          <w:color w:val="000000" w:themeColor="text1"/>
          <w:lang w:val="en-US"/>
        </w:rPr>
        <w:t xml:space="preserve">eye disorders such as </w:t>
      </w:r>
      <w:r w:rsidR="003E3A12" w:rsidRPr="00004507">
        <w:rPr>
          <w:rFonts w:ascii="Arial" w:eastAsia="TimesNewRomanPSMT" w:hAnsi="Arial" w:cs="Arial"/>
          <w:color w:val="000000" w:themeColor="text1"/>
          <w:lang w:val="en-US"/>
        </w:rPr>
        <w:t>uveitis and</w:t>
      </w:r>
      <w:r w:rsidR="00C656E3" w:rsidRPr="00004507">
        <w:rPr>
          <w:rFonts w:ascii="Arial" w:eastAsia="TimesNewRomanPSMT" w:hAnsi="Arial" w:cs="Arial"/>
          <w:color w:val="000000" w:themeColor="text1"/>
          <w:lang w:val="en-US"/>
        </w:rPr>
        <w:t xml:space="preserve"> age-relat</w:t>
      </w:r>
      <w:r w:rsidR="003E3A12" w:rsidRPr="00004507">
        <w:rPr>
          <w:rFonts w:ascii="Arial" w:eastAsia="TimesNewRomanPSMT" w:hAnsi="Arial" w:cs="Arial"/>
          <w:color w:val="000000" w:themeColor="text1"/>
          <w:lang w:val="en-US"/>
        </w:rPr>
        <w:t>ed macular degeneration</w:t>
      </w:r>
      <w:r w:rsidR="00F24FC4" w:rsidRPr="00004507">
        <w:rPr>
          <w:rFonts w:ascii="Arial" w:eastAsia="TimesNewRomanPSMT" w:hAnsi="Arial" w:cs="Arial"/>
          <w:color w:val="000000" w:themeColor="text1"/>
          <w:lang w:val="en-US"/>
        </w:rPr>
        <w:t xml:space="preserve">, </w:t>
      </w:r>
      <w:r w:rsidR="003E3A12" w:rsidRPr="00004507">
        <w:rPr>
          <w:rFonts w:ascii="Arial" w:eastAsia="TimesNewRomanPSMT" w:hAnsi="Arial" w:cs="Arial"/>
          <w:color w:val="000000" w:themeColor="text1"/>
          <w:lang w:val="en-US"/>
        </w:rPr>
        <w:t xml:space="preserve">having </w:t>
      </w:r>
      <w:r w:rsidRPr="00004507">
        <w:rPr>
          <w:rFonts w:ascii="Arial" w:eastAsia="TimesNewRomanPSMT" w:hAnsi="Arial" w:cs="Arial"/>
          <w:color w:val="000000" w:themeColor="text1"/>
          <w:lang w:val="en-US"/>
        </w:rPr>
        <w:t xml:space="preserve">kidney disease, having </w:t>
      </w:r>
      <w:r w:rsidR="00C656E3" w:rsidRPr="00004507">
        <w:rPr>
          <w:rFonts w:ascii="Arial" w:eastAsia="TimesNewRomanPSMT" w:hAnsi="Arial" w:cs="Arial"/>
          <w:color w:val="000000" w:themeColor="text1"/>
          <w:lang w:val="en-US"/>
        </w:rPr>
        <w:t>any central nervous</w:t>
      </w:r>
      <w:r w:rsidRPr="00004507">
        <w:rPr>
          <w:rFonts w:ascii="Arial" w:eastAsia="TimesNewRomanPSMT" w:hAnsi="Arial" w:cs="Arial"/>
          <w:color w:val="000000" w:themeColor="text1"/>
          <w:lang w:val="en-US"/>
        </w:rPr>
        <w:t xml:space="preserve"> system disease that might interfere</w:t>
      </w:r>
      <w:r w:rsidR="00F24FC4" w:rsidRPr="00004507">
        <w:rPr>
          <w:rFonts w:ascii="Arial" w:eastAsia="TimesNewRomanPSMT" w:hAnsi="Arial" w:cs="Arial"/>
          <w:color w:val="000000" w:themeColor="text1"/>
          <w:lang w:val="en-US"/>
        </w:rPr>
        <w:t xml:space="preserve"> </w:t>
      </w:r>
      <w:r w:rsidR="00C656E3" w:rsidRPr="00004507">
        <w:rPr>
          <w:rFonts w:ascii="Arial" w:eastAsia="TimesNewRomanPSMT" w:hAnsi="Arial" w:cs="Arial"/>
          <w:color w:val="000000" w:themeColor="text1"/>
          <w:lang w:val="en-US"/>
        </w:rPr>
        <w:t>with a visual field test</w:t>
      </w:r>
      <w:r w:rsidR="00D567FD" w:rsidRPr="00004507">
        <w:rPr>
          <w:rFonts w:ascii="Arial" w:eastAsia="TimesNewRomanPSMT" w:hAnsi="Arial" w:cs="Arial"/>
          <w:color w:val="000000" w:themeColor="text1"/>
          <w:lang w:val="en-US"/>
        </w:rPr>
        <w:t xml:space="preserve">, </w:t>
      </w:r>
      <w:r w:rsidRPr="00004507">
        <w:rPr>
          <w:rFonts w:ascii="Arial" w:eastAsia="TimesNewRomanPSMT" w:hAnsi="Arial" w:cs="Arial"/>
          <w:color w:val="000000" w:themeColor="text1"/>
          <w:lang w:val="en-US"/>
        </w:rPr>
        <w:t xml:space="preserve">and </w:t>
      </w:r>
      <w:r w:rsidR="003E3A12" w:rsidRPr="00004507">
        <w:rPr>
          <w:rFonts w:ascii="Arial" w:eastAsia="TimesNewRomanPSMT" w:hAnsi="Arial" w:cs="Arial"/>
          <w:color w:val="000000" w:themeColor="text1"/>
          <w:lang w:val="en-US"/>
        </w:rPr>
        <w:t xml:space="preserve">using non-steroidal anti-inflammatory drugs, supplemental vitamin C and/or vitamin E, or diuretics. </w:t>
      </w:r>
      <w:r w:rsidR="00561607" w:rsidRPr="00004507">
        <w:rPr>
          <w:rFonts w:ascii="Arial" w:eastAsia="TimesNewRomanPSMT" w:hAnsi="Arial" w:cs="Arial"/>
          <w:color w:val="000000" w:themeColor="text1"/>
          <w:lang w:val="en-US"/>
        </w:rPr>
        <w:t>Peripheral b</w:t>
      </w:r>
      <w:r w:rsidR="00C656E3" w:rsidRPr="00004507">
        <w:rPr>
          <w:rFonts w:ascii="Arial" w:eastAsia="TimesNewRomanPSMT" w:hAnsi="Arial" w:cs="Arial"/>
          <w:color w:val="000000" w:themeColor="text1"/>
          <w:lang w:val="en-US"/>
        </w:rPr>
        <w:t>lood samples were</w:t>
      </w:r>
      <w:r w:rsidRPr="00004507">
        <w:rPr>
          <w:rFonts w:ascii="Arial" w:eastAsia="TimesNewRomanPSMT" w:hAnsi="Arial" w:cs="Arial"/>
          <w:color w:val="000000" w:themeColor="text1"/>
          <w:lang w:val="en-US"/>
        </w:rPr>
        <w:t xml:space="preserve"> taken</w:t>
      </w:r>
      <w:r w:rsidR="00561607" w:rsidRPr="00004507">
        <w:rPr>
          <w:rFonts w:ascii="Arial" w:eastAsia="TimesNewRomanPSMT" w:hAnsi="Arial" w:cs="Arial"/>
          <w:color w:val="000000" w:themeColor="text1"/>
          <w:lang w:val="en-US"/>
        </w:rPr>
        <w:t xml:space="preserve"> </w:t>
      </w:r>
      <w:r w:rsidR="00AE1C5B" w:rsidRPr="00004507">
        <w:rPr>
          <w:rFonts w:ascii="Arial" w:eastAsia="TimesNewRomanPSMT" w:hAnsi="Arial" w:cs="Arial"/>
          <w:color w:val="000000" w:themeColor="text1"/>
          <w:lang w:val="en-US"/>
        </w:rPr>
        <w:t xml:space="preserve">from all the study participants </w:t>
      </w:r>
      <w:r w:rsidRPr="00004507">
        <w:rPr>
          <w:rFonts w:ascii="Arial" w:eastAsia="TimesNewRomanPSMT" w:hAnsi="Arial" w:cs="Arial"/>
          <w:color w:val="000000" w:themeColor="text1"/>
          <w:lang w:val="en-US"/>
        </w:rPr>
        <w:t>through</w:t>
      </w:r>
      <w:r w:rsidR="00C656E3" w:rsidRPr="00004507">
        <w:rPr>
          <w:rFonts w:ascii="Arial" w:eastAsia="TimesNewRomanPSMT" w:hAnsi="Arial" w:cs="Arial"/>
          <w:color w:val="000000" w:themeColor="text1"/>
          <w:lang w:val="en-US"/>
        </w:rPr>
        <w:t xml:space="preserve"> venipuncture</w:t>
      </w:r>
      <w:r w:rsidR="00BE1B6D" w:rsidRPr="00004507">
        <w:rPr>
          <w:rFonts w:ascii="Arial" w:eastAsia="TimesNewRomanPSMT" w:hAnsi="Arial" w:cs="Arial"/>
          <w:color w:val="000000" w:themeColor="text1"/>
          <w:lang w:val="en-US"/>
        </w:rPr>
        <w:t xml:space="preserve"> and </w:t>
      </w:r>
      <w:r w:rsidR="00C656E3" w:rsidRPr="00004507">
        <w:rPr>
          <w:rFonts w:ascii="Arial" w:eastAsia="TimesNewRomanPSMT" w:hAnsi="Arial" w:cs="Arial"/>
          <w:color w:val="000000" w:themeColor="text1"/>
          <w:lang w:val="en-US"/>
        </w:rPr>
        <w:t xml:space="preserve">stored at </w:t>
      </w:r>
      <w:r w:rsidRPr="00004507">
        <w:rPr>
          <w:rFonts w:ascii="Arial" w:eastAsia="TimesNewRomanPSMT" w:hAnsi="Arial" w:cs="Arial"/>
          <w:color w:val="000000" w:themeColor="text1"/>
          <w:lang w:val="en-US"/>
        </w:rPr>
        <w:t>−</w:t>
      </w:r>
      <w:r w:rsidR="00BE1B6D" w:rsidRPr="00004507">
        <w:rPr>
          <w:rFonts w:ascii="Arial" w:eastAsia="TimesNewRomanPSMT" w:hAnsi="Arial" w:cs="Arial"/>
          <w:color w:val="000000" w:themeColor="text1"/>
          <w:lang w:val="en-US"/>
        </w:rPr>
        <w:t>80</w:t>
      </w:r>
      <w:r w:rsidRPr="00004507">
        <w:rPr>
          <w:rFonts w:ascii="Arial" w:eastAsia="TimesNewRomanPSMT" w:hAnsi="Arial" w:cs="Arial"/>
          <w:color w:val="000000" w:themeColor="text1"/>
          <w:lang w:val="en-US"/>
        </w:rPr>
        <w:t xml:space="preserve"> </w:t>
      </w:r>
      <w:r w:rsidR="00C656E3" w:rsidRPr="00004507">
        <w:rPr>
          <w:rFonts w:ascii="Arial" w:eastAsia="TimesNewRomanPSMT" w:hAnsi="Arial" w:cs="Arial"/>
          <w:color w:val="000000" w:themeColor="text1"/>
          <w:lang w:val="en-US"/>
        </w:rPr>
        <w:t>°C until use.</w:t>
      </w:r>
      <w:r w:rsidR="00C656E3" w:rsidRPr="00004507">
        <w:rPr>
          <w:rFonts w:ascii="Arial" w:hAnsi="Arial" w:cs="Arial"/>
          <w:color w:val="000000" w:themeColor="text1"/>
          <w:lang w:val="en-US"/>
        </w:rPr>
        <w:t xml:space="preserve"> </w:t>
      </w:r>
    </w:p>
    <w:p w14:paraId="580487B3" w14:textId="77777777" w:rsidR="00561607" w:rsidRPr="00004507" w:rsidRDefault="00561607" w:rsidP="00C15EA2">
      <w:pPr>
        <w:spacing w:line="276" w:lineRule="auto"/>
        <w:contextualSpacing/>
        <w:jc w:val="both"/>
        <w:rPr>
          <w:rFonts w:ascii="Arial" w:hAnsi="Arial" w:cs="Arial"/>
          <w:color w:val="000000" w:themeColor="text1"/>
          <w:lang w:val="en-US"/>
        </w:rPr>
      </w:pPr>
    </w:p>
    <w:p w14:paraId="7D94C16A" w14:textId="294C04ED" w:rsidR="0014284C" w:rsidRPr="00311F16" w:rsidRDefault="0014284C" w:rsidP="00311F16">
      <w:pPr>
        <w:spacing w:line="276" w:lineRule="auto"/>
        <w:jc w:val="both"/>
        <w:rPr>
          <w:rFonts w:ascii="Arial" w:hAnsi="Arial" w:cs="Arial"/>
          <w:b/>
          <w:color w:val="000000" w:themeColor="text1"/>
          <w:lang w:val="en-US"/>
        </w:rPr>
      </w:pPr>
      <w:r w:rsidRPr="00311F16">
        <w:rPr>
          <w:rFonts w:ascii="Arial" w:hAnsi="Arial" w:cs="Arial"/>
          <w:b/>
          <w:color w:val="000000" w:themeColor="text1"/>
          <w:lang w:val="en-US"/>
        </w:rPr>
        <w:t xml:space="preserve">Determination of genetic </w:t>
      </w:r>
      <w:r w:rsidR="002C6E95">
        <w:rPr>
          <w:rFonts w:ascii="Arial" w:hAnsi="Arial" w:cs="Arial"/>
          <w:b/>
          <w:color w:val="000000" w:themeColor="text1"/>
          <w:lang w:val="en-US"/>
        </w:rPr>
        <w:t>variations</w:t>
      </w:r>
    </w:p>
    <w:p w14:paraId="296778B8" w14:textId="5E110016" w:rsidR="00B275DB" w:rsidRPr="00004507" w:rsidRDefault="006475C0" w:rsidP="00C15EA2">
      <w:pPr>
        <w:autoSpaceDE w:val="0"/>
        <w:autoSpaceDN w:val="0"/>
        <w:adjustRightInd w:val="0"/>
        <w:spacing w:line="276" w:lineRule="auto"/>
        <w:jc w:val="both"/>
        <w:rPr>
          <w:rFonts w:ascii="Arial" w:hAnsi="Arial" w:cs="Arial"/>
          <w:color w:val="000000" w:themeColor="text1"/>
          <w:lang w:val="en-US"/>
        </w:rPr>
      </w:pPr>
      <w:r w:rsidRPr="00004507">
        <w:rPr>
          <w:rFonts w:ascii="Arial" w:hAnsi="Arial" w:cs="Arial"/>
          <w:color w:val="000000" w:themeColor="text1"/>
          <w:lang w:val="en-US"/>
        </w:rPr>
        <w:t>Genomic DNA</w:t>
      </w:r>
      <w:r w:rsidR="00C665DF" w:rsidRPr="00004507">
        <w:rPr>
          <w:rFonts w:ascii="Arial" w:hAnsi="Arial" w:cs="Arial"/>
          <w:color w:val="000000" w:themeColor="text1"/>
          <w:lang w:val="en-US"/>
        </w:rPr>
        <w:t xml:space="preserve"> was</w:t>
      </w:r>
      <w:r w:rsidR="00561607" w:rsidRPr="00004507">
        <w:rPr>
          <w:rFonts w:ascii="Arial" w:hAnsi="Arial" w:cs="Arial"/>
          <w:color w:val="000000" w:themeColor="text1"/>
          <w:lang w:val="en-US"/>
        </w:rPr>
        <w:t xml:space="preserve"> isolated from the whole blood s</w:t>
      </w:r>
      <w:r w:rsidR="005C5779" w:rsidRPr="00004507">
        <w:rPr>
          <w:rFonts w:ascii="Arial" w:hAnsi="Arial" w:cs="Arial"/>
          <w:color w:val="000000" w:themeColor="text1"/>
          <w:lang w:val="en-US"/>
        </w:rPr>
        <w:t xml:space="preserve">amples </w:t>
      </w:r>
      <w:r w:rsidRPr="00004507">
        <w:rPr>
          <w:rFonts w:ascii="Arial" w:hAnsi="Arial" w:cs="Arial"/>
          <w:color w:val="000000" w:themeColor="text1"/>
          <w:lang w:val="en-US"/>
        </w:rPr>
        <w:t xml:space="preserve">using the method </w:t>
      </w:r>
      <w:r w:rsidR="00AD14CD" w:rsidRPr="00004507">
        <w:rPr>
          <w:rFonts w:ascii="Arial" w:hAnsi="Arial" w:cs="Arial"/>
          <w:color w:val="000000" w:themeColor="text1"/>
          <w:lang w:val="en-US"/>
        </w:rPr>
        <w:t xml:space="preserve">described by </w:t>
      </w:r>
      <w:proofErr w:type="spellStart"/>
      <w:r w:rsidR="00AD14CD" w:rsidRPr="00004507">
        <w:rPr>
          <w:rFonts w:ascii="Arial" w:hAnsi="Arial" w:cs="Arial"/>
          <w:color w:val="000000" w:themeColor="text1"/>
          <w:lang w:val="en-US"/>
        </w:rPr>
        <w:t>Lahiri</w:t>
      </w:r>
      <w:proofErr w:type="spellEnd"/>
      <w:r w:rsidR="00AD14CD" w:rsidRPr="00004507">
        <w:rPr>
          <w:rFonts w:ascii="Arial" w:hAnsi="Arial" w:cs="Arial"/>
          <w:color w:val="000000" w:themeColor="text1"/>
          <w:lang w:val="en-US"/>
        </w:rPr>
        <w:t xml:space="preserve"> and </w:t>
      </w:r>
      <w:r w:rsidR="008659B4" w:rsidRPr="00004507">
        <w:rPr>
          <w:rFonts w:ascii="Arial" w:hAnsi="Arial" w:cs="Arial"/>
          <w:color w:val="000000" w:themeColor="text1"/>
          <w:lang w:val="en-US"/>
        </w:rPr>
        <w:t>Schnabel</w:t>
      </w:r>
      <w:r w:rsidR="001F79E9" w:rsidRPr="00004507">
        <w:rPr>
          <w:rFonts w:ascii="Arial" w:hAnsi="Arial" w:cs="Arial"/>
          <w:color w:val="000000" w:themeColor="text1"/>
          <w:lang w:val="en-US"/>
        </w:rPr>
        <w:t xml:space="preserve"> </w:t>
      </w:r>
      <w:r w:rsidR="007674E2" w:rsidRPr="00004507">
        <w:rPr>
          <w:rFonts w:ascii="Arial" w:hAnsi="Arial" w:cs="Arial"/>
          <w:color w:val="000000" w:themeColor="text1"/>
          <w:lang w:val="en-US"/>
        </w:rPr>
        <w:t>[32</w:t>
      </w:r>
      <w:r w:rsidR="00A84CC1" w:rsidRPr="00004507">
        <w:rPr>
          <w:rFonts w:ascii="Arial" w:hAnsi="Arial" w:cs="Arial"/>
          <w:color w:val="000000" w:themeColor="text1"/>
          <w:lang w:val="en-US"/>
        </w:rPr>
        <w:t>]</w:t>
      </w:r>
      <w:r w:rsidR="008659B4" w:rsidRPr="00004507">
        <w:rPr>
          <w:rFonts w:ascii="Arial" w:hAnsi="Arial" w:cs="Arial"/>
          <w:color w:val="000000" w:themeColor="text1"/>
          <w:lang w:val="en-US"/>
        </w:rPr>
        <w:t>.</w:t>
      </w:r>
      <w:r w:rsidR="00DA78D8" w:rsidRPr="00004507">
        <w:rPr>
          <w:rFonts w:ascii="Arial" w:hAnsi="Arial" w:cs="Arial"/>
          <w:color w:val="000000" w:themeColor="text1"/>
          <w:lang w:val="en-US"/>
        </w:rPr>
        <w:t xml:space="preserve"> </w:t>
      </w:r>
      <w:r w:rsidR="005735E0" w:rsidRPr="00004507">
        <w:rPr>
          <w:rFonts w:ascii="Arial" w:hAnsi="Arial" w:cs="Arial"/>
          <w:color w:val="000000" w:themeColor="text1"/>
          <w:lang w:val="en-US"/>
        </w:rPr>
        <w:t xml:space="preserve">Standard </w:t>
      </w:r>
      <w:r w:rsidR="00C665DF" w:rsidRPr="00004507">
        <w:rPr>
          <w:rFonts w:ascii="Arial" w:hAnsi="Arial" w:cs="Arial"/>
          <w:color w:val="000000" w:themeColor="text1"/>
          <w:lang w:val="en-US"/>
        </w:rPr>
        <w:t>PCR</w:t>
      </w:r>
      <w:r w:rsidR="000876FD" w:rsidRPr="00004507">
        <w:rPr>
          <w:rFonts w:ascii="Arial" w:hAnsi="Arial" w:cs="Arial"/>
          <w:color w:val="000000" w:themeColor="text1"/>
          <w:lang w:val="en-US"/>
        </w:rPr>
        <w:t>,</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 xml:space="preserve">followed by restriction enzyme digestions </w:t>
      </w:r>
      <w:r w:rsidRPr="00004507">
        <w:rPr>
          <w:rFonts w:ascii="Arial" w:hAnsi="Arial" w:cs="Arial"/>
          <w:color w:val="000000" w:themeColor="text1"/>
          <w:lang w:val="en-US"/>
        </w:rPr>
        <w:t xml:space="preserve">was employed to determine the </w:t>
      </w:r>
      <w:r w:rsidR="00C665DF" w:rsidRPr="00004507">
        <w:rPr>
          <w:rFonts w:ascii="Arial" w:hAnsi="Arial" w:cs="Arial"/>
          <w:color w:val="000000" w:themeColor="text1"/>
          <w:lang w:val="en-US"/>
        </w:rPr>
        <w:t>−</w:t>
      </w:r>
      <w:r w:rsidRPr="00004507">
        <w:rPr>
          <w:rFonts w:ascii="Arial" w:hAnsi="Arial" w:cs="Arial"/>
          <w:color w:val="000000" w:themeColor="text1"/>
          <w:lang w:val="en-US"/>
        </w:rPr>
        <w:t>107T/C</w:t>
      </w:r>
      <w:r w:rsidR="00081360" w:rsidRPr="00004507">
        <w:rPr>
          <w:rFonts w:ascii="Arial" w:hAnsi="Arial" w:cs="Arial"/>
          <w:color w:val="000000" w:themeColor="text1"/>
          <w:lang w:val="en-US"/>
        </w:rPr>
        <w:t xml:space="preserve"> (</w:t>
      </w:r>
      <w:r w:rsidR="00081360" w:rsidRPr="00004507">
        <w:rPr>
          <w:rFonts w:ascii="Arial" w:hAnsi="Arial" w:cs="Arial"/>
          <w:i/>
          <w:color w:val="000000" w:themeColor="text1"/>
          <w:lang w:val="en-US"/>
        </w:rPr>
        <w:t>rs</w:t>
      </w:r>
      <w:r w:rsidR="00081360" w:rsidRPr="00004507">
        <w:rPr>
          <w:rFonts w:ascii="Arial" w:hAnsi="Arial" w:cs="Arial"/>
          <w:i/>
          <w:color w:val="000000" w:themeColor="text1"/>
          <w:shd w:val="clear" w:color="auto" w:fill="FFFFFF"/>
          <w:lang w:val="en-US"/>
        </w:rPr>
        <w:t>705379</w:t>
      </w:r>
      <w:r w:rsidR="00081360" w:rsidRPr="00004507">
        <w:rPr>
          <w:rFonts w:ascii="Arial" w:hAnsi="Arial" w:cs="Arial"/>
          <w:color w:val="000000" w:themeColor="text1"/>
          <w:lang w:val="en-US"/>
        </w:rPr>
        <w:t>)</w:t>
      </w:r>
      <w:r w:rsidRPr="00004507">
        <w:rPr>
          <w:rFonts w:ascii="Arial" w:hAnsi="Arial" w:cs="Arial"/>
          <w:color w:val="000000" w:themeColor="text1"/>
          <w:lang w:val="en-US"/>
        </w:rPr>
        <w:t xml:space="preserve">, </w:t>
      </w:r>
      <w:r w:rsidRPr="00004507">
        <w:rPr>
          <w:rFonts w:ascii="Arial" w:hAnsi="Arial" w:cs="Arial"/>
          <w:i/>
          <w:color w:val="000000" w:themeColor="text1"/>
          <w:lang w:val="en-US"/>
        </w:rPr>
        <w:t>192Q/R</w:t>
      </w:r>
      <w:r w:rsidRPr="00004507">
        <w:rPr>
          <w:rFonts w:ascii="Arial" w:hAnsi="Arial" w:cs="Arial"/>
          <w:color w:val="000000" w:themeColor="text1"/>
          <w:lang w:val="en-US"/>
        </w:rPr>
        <w:t xml:space="preserve"> </w:t>
      </w:r>
      <w:r w:rsidR="00081360" w:rsidRPr="00004507">
        <w:rPr>
          <w:rFonts w:ascii="Arial" w:hAnsi="Arial" w:cs="Arial"/>
          <w:color w:val="000000" w:themeColor="text1"/>
          <w:lang w:val="en-US"/>
        </w:rPr>
        <w:t>(</w:t>
      </w:r>
      <w:r w:rsidR="00081360" w:rsidRPr="00004507">
        <w:rPr>
          <w:rFonts w:ascii="Arial" w:hAnsi="Arial" w:cs="Arial"/>
          <w:i/>
          <w:color w:val="000000" w:themeColor="text1"/>
          <w:lang w:val="en-US"/>
        </w:rPr>
        <w:t>rs662</w:t>
      </w:r>
      <w:r w:rsidR="00081360"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and </w:t>
      </w:r>
      <w:r w:rsidRPr="00004507">
        <w:rPr>
          <w:rFonts w:ascii="Arial" w:hAnsi="Arial" w:cs="Arial"/>
          <w:i/>
          <w:color w:val="000000" w:themeColor="text1"/>
          <w:lang w:val="en-US"/>
        </w:rPr>
        <w:t>55L/M</w:t>
      </w:r>
      <w:r w:rsidRPr="00004507">
        <w:rPr>
          <w:rFonts w:ascii="Arial" w:hAnsi="Arial" w:cs="Arial"/>
          <w:color w:val="000000" w:themeColor="text1"/>
          <w:lang w:val="en-US"/>
        </w:rPr>
        <w:t xml:space="preserve"> </w:t>
      </w:r>
      <w:r w:rsidR="002409DD" w:rsidRPr="00004507">
        <w:rPr>
          <w:rFonts w:ascii="Arial" w:hAnsi="Arial" w:cs="Arial"/>
          <w:color w:val="000000" w:themeColor="text1"/>
          <w:lang w:val="en-US"/>
        </w:rPr>
        <w:t>(</w:t>
      </w:r>
      <w:r w:rsidR="002409DD" w:rsidRPr="00004507">
        <w:rPr>
          <w:rFonts w:ascii="Arial" w:hAnsi="Arial" w:cs="Arial"/>
          <w:i/>
          <w:color w:val="000000" w:themeColor="text1"/>
          <w:lang w:val="en-US"/>
        </w:rPr>
        <w:t>rs8545</w:t>
      </w:r>
      <w:r w:rsidR="00081360" w:rsidRPr="00004507">
        <w:rPr>
          <w:rFonts w:ascii="Arial" w:hAnsi="Arial" w:cs="Arial"/>
          <w:i/>
          <w:color w:val="000000" w:themeColor="text1"/>
          <w:lang w:val="en-US"/>
        </w:rPr>
        <w:t>60</w:t>
      </w:r>
      <w:r w:rsidR="00081360" w:rsidRPr="00004507">
        <w:rPr>
          <w:rFonts w:ascii="Arial" w:hAnsi="Arial" w:cs="Arial"/>
          <w:color w:val="000000" w:themeColor="text1"/>
          <w:lang w:val="en-US"/>
        </w:rPr>
        <w:t xml:space="preserve">) </w:t>
      </w:r>
      <w:r w:rsidRPr="00004507">
        <w:rPr>
          <w:rFonts w:ascii="Arial" w:hAnsi="Arial" w:cs="Arial"/>
          <w:color w:val="000000" w:themeColor="text1"/>
          <w:lang w:val="en-US"/>
        </w:rPr>
        <w:t>genotypes of all subjects</w:t>
      </w:r>
      <w:r w:rsidR="00AB295C" w:rsidRPr="00004507">
        <w:rPr>
          <w:rFonts w:ascii="Arial" w:hAnsi="Arial" w:cs="Arial"/>
          <w:color w:val="000000" w:themeColor="text1"/>
          <w:lang w:val="en-US"/>
        </w:rPr>
        <w:t xml:space="preserve">, as </w:t>
      </w:r>
      <w:r w:rsidR="006A0332" w:rsidRPr="00004507">
        <w:rPr>
          <w:rFonts w:ascii="Arial" w:hAnsi="Arial" w:cs="Arial"/>
          <w:color w:val="000000" w:themeColor="text1"/>
          <w:lang w:val="en-US"/>
        </w:rPr>
        <w:t xml:space="preserve">described </w:t>
      </w:r>
      <w:r w:rsidR="005F4B80" w:rsidRPr="00004507">
        <w:rPr>
          <w:rFonts w:ascii="Arial" w:hAnsi="Arial" w:cs="Arial"/>
          <w:color w:val="000000" w:themeColor="text1"/>
          <w:lang w:val="en-US"/>
        </w:rPr>
        <w:t>previously</w:t>
      </w:r>
      <w:r w:rsidR="00AB295C" w:rsidRPr="00004507">
        <w:rPr>
          <w:rFonts w:ascii="Arial" w:hAnsi="Arial" w:cs="Arial"/>
          <w:color w:val="000000" w:themeColor="text1"/>
          <w:lang w:val="en-US"/>
        </w:rPr>
        <w:t xml:space="preserve"> </w:t>
      </w:r>
      <w:r w:rsidR="007674E2" w:rsidRPr="00004507">
        <w:rPr>
          <w:rFonts w:ascii="Arial" w:hAnsi="Arial" w:cs="Arial"/>
          <w:color w:val="000000" w:themeColor="text1"/>
          <w:lang w:val="en-US"/>
        </w:rPr>
        <w:t>[33,34]</w:t>
      </w:r>
      <w:r w:rsidR="00B275DB"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 xml:space="preserve">The </w:t>
      </w:r>
      <w:r w:rsidR="00F21DE1" w:rsidRPr="00004507">
        <w:rPr>
          <w:rFonts w:ascii="Arial" w:hAnsi="Arial" w:cs="Arial"/>
          <w:color w:val="000000" w:themeColor="text1"/>
          <w:lang w:val="en-US"/>
        </w:rPr>
        <w:t>PCR mixture</w:t>
      </w:r>
      <w:r w:rsidR="00B275DB" w:rsidRPr="00004507">
        <w:rPr>
          <w:rFonts w:ascii="Arial" w:hAnsi="Arial" w:cs="Arial"/>
          <w:color w:val="000000" w:themeColor="text1"/>
          <w:lang w:val="en-US"/>
        </w:rPr>
        <w:t xml:space="preserve">s </w:t>
      </w:r>
      <w:r w:rsidR="00F21DE1" w:rsidRPr="00004507">
        <w:rPr>
          <w:rFonts w:ascii="Arial" w:hAnsi="Arial" w:cs="Arial"/>
          <w:color w:val="000000" w:themeColor="text1"/>
          <w:lang w:val="en-US"/>
        </w:rPr>
        <w:t>conta</w:t>
      </w:r>
      <w:r w:rsidR="006A0332" w:rsidRPr="00004507">
        <w:rPr>
          <w:rFonts w:ascii="Arial" w:hAnsi="Arial" w:cs="Arial"/>
          <w:color w:val="000000" w:themeColor="text1"/>
          <w:lang w:val="en-US"/>
        </w:rPr>
        <w:t>ined specific primers as given in</w:t>
      </w:r>
      <w:r w:rsidR="00F21DE1"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 xml:space="preserve">Campo </w:t>
      </w:r>
      <w:r w:rsidR="00F2685A" w:rsidRPr="00004507">
        <w:rPr>
          <w:rFonts w:ascii="Arial" w:hAnsi="Arial" w:cs="Arial"/>
          <w:color w:val="000000" w:themeColor="text1"/>
          <w:lang w:val="en-US"/>
        </w:rPr>
        <w:t>et al.</w:t>
      </w:r>
      <w:r w:rsidR="007674E2" w:rsidRPr="00004507">
        <w:rPr>
          <w:rFonts w:ascii="Arial" w:hAnsi="Arial" w:cs="Arial"/>
          <w:color w:val="000000" w:themeColor="text1"/>
          <w:lang w:val="en-US"/>
        </w:rPr>
        <w:t xml:space="preserve"> [35</w:t>
      </w:r>
      <w:r w:rsidR="00A05A96" w:rsidRPr="00004507">
        <w:rPr>
          <w:rFonts w:ascii="Arial" w:hAnsi="Arial" w:cs="Arial"/>
          <w:color w:val="000000" w:themeColor="text1"/>
          <w:lang w:val="en-US"/>
        </w:rPr>
        <w:t>]</w:t>
      </w:r>
      <w:r w:rsidR="00B275DB" w:rsidRPr="00004507">
        <w:rPr>
          <w:rFonts w:ascii="Arial" w:hAnsi="Arial" w:cs="Arial"/>
          <w:color w:val="000000" w:themeColor="text1"/>
          <w:lang w:val="en-US"/>
        </w:rPr>
        <w:t>.</w:t>
      </w:r>
      <w:r w:rsidR="00F21DE1" w:rsidRPr="00004507">
        <w:rPr>
          <w:rFonts w:ascii="Arial" w:hAnsi="Arial" w:cs="Arial"/>
          <w:color w:val="000000" w:themeColor="text1"/>
          <w:lang w:val="en-US"/>
        </w:rPr>
        <w:t xml:space="preserve"> </w:t>
      </w:r>
    </w:p>
    <w:p w14:paraId="5F54C9B5" w14:textId="02A62AFE" w:rsidR="00B275DB" w:rsidRPr="00004507" w:rsidRDefault="009F5ADB" w:rsidP="00C15EA2">
      <w:pPr>
        <w:autoSpaceDE w:val="0"/>
        <w:autoSpaceDN w:val="0"/>
        <w:adjustRightInd w:val="0"/>
        <w:spacing w:line="276" w:lineRule="auto"/>
        <w:jc w:val="both"/>
        <w:rPr>
          <w:rFonts w:ascii="Arial" w:hAnsi="Arial" w:cs="Arial"/>
          <w:color w:val="000000" w:themeColor="text1"/>
          <w:lang w:val="en-US"/>
        </w:rPr>
      </w:pPr>
      <w:r w:rsidRPr="00004507">
        <w:rPr>
          <w:rFonts w:ascii="Arial" w:hAnsi="Arial" w:cs="Arial"/>
          <w:color w:val="000000" w:themeColor="text1"/>
          <w:lang w:val="en-US"/>
        </w:rPr>
        <w:t xml:space="preserve">The </w:t>
      </w:r>
      <w:r w:rsidR="00B275DB" w:rsidRPr="00004507">
        <w:rPr>
          <w:rFonts w:ascii="Arial" w:hAnsi="Arial" w:cs="Arial"/>
          <w:color w:val="000000" w:themeColor="text1"/>
          <w:lang w:val="en-US"/>
        </w:rPr>
        <w:t xml:space="preserve">PCR reaction </w:t>
      </w:r>
      <w:r w:rsidRPr="00004507">
        <w:rPr>
          <w:rFonts w:ascii="Arial" w:hAnsi="Arial" w:cs="Arial"/>
          <w:color w:val="000000" w:themeColor="text1"/>
          <w:lang w:val="en-US"/>
        </w:rPr>
        <w:t xml:space="preserve">of </w:t>
      </w:r>
      <w:r w:rsidR="00B275DB" w:rsidRPr="00004507">
        <w:rPr>
          <w:rFonts w:ascii="Arial" w:hAnsi="Arial" w:cs="Arial"/>
          <w:color w:val="000000" w:themeColor="text1"/>
          <w:lang w:val="en-US"/>
        </w:rPr>
        <w:t xml:space="preserve">a total volume of 50 </w:t>
      </w:r>
      <w:proofErr w:type="spellStart"/>
      <w:r w:rsidR="00B275DB" w:rsidRPr="00004507">
        <w:rPr>
          <w:rFonts w:ascii="Arial" w:hAnsi="Arial" w:cs="Arial"/>
          <w:color w:val="000000" w:themeColor="text1"/>
          <w:lang w:val="en-US"/>
        </w:rPr>
        <w:t>μL</w:t>
      </w:r>
      <w:proofErr w:type="spellEnd"/>
      <w:r w:rsidR="00B275DB" w:rsidRPr="00004507">
        <w:rPr>
          <w:rFonts w:ascii="Arial" w:hAnsi="Arial" w:cs="Arial"/>
          <w:color w:val="000000" w:themeColor="text1"/>
          <w:lang w:val="en-US"/>
        </w:rPr>
        <w:t xml:space="preserve"> contained 400 </w:t>
      </w:r>
      <w:proofErr w:type="spellStart"/>
      <w:r w:rsidR="00B275DB" w:rsidRPr="00004507">
        <w:rPr>
          <w:rFonts w:ascii="Arial" w:hAnsi="Arial" w:cs="Arial"/>
          <w:color w:val="000000" w:themeColor="text1"/>
          <w:lang w:val="en-US"/>
        </w:rPr>
        <w:t>ng</w:t>
      </w:r>
      <w:proofErr w:type="spellEnd"/>
      <w:r w:rsidR="00B275DB" w:rsidRPr="00004507">
        <w:rPr>
          <w:rFonts w:ascii="Arial" w:hAnsi="Arial" w:cs="Arial"/>
          <w:color w:val="000000" w:themeColor="text1"/>
          <w:lang w:val="en-US"/>
        </w:rPr>
        <w:t xml:space="preserve"> </w:t>
      </w:r>
      <w:r w:rsidR="00B63028" w:rsidRPr="00004507">
        <w:rPr>
          <w:rFonts w:ascii="Arial" w:hAnsi="Arial" w:cs="Arial"/>
          <w:color w:val="000000" w:themeColor="text1"/>
          <w:lang w:val="en-US"/>
        </w:rPr>
        <w:t xml:space="preserve">template </w:t>
      </w:r>
      <w:r w:rsidR="00B275DB" w:rsidRPr="00004507">
        <w:rPr>
          <w:rFonts w:ascii="Arial" w:hAnsi="Arial" w:cs="Arial"/>
          <w:color w:val="000000" w:themeColor="text1"/>
          <w:lang w:val="en-US"/>
        </w:rPr>
        <w:t xml:space="preserve">genomic DNA, 200 </w:t>
      </w:r>
      <w:proofErr w:type="spellStart"/>
      <w:r w:rsidR="00B275DB" w:rsidRPr="00004507">
        <w:rPr>
          <w:rFonts w:ascii="Arial" w:hAnsi="Arial" w:cs="Arial"/>
          <w:color w:val="000000" w:themeColor="text1"/>
          <w:lang w:val="en-US"/>
        </w:rPr>
        <w:t>mmol</w:t>
      </w:r>
      <w:proofErr w:type="spellEnd"/>
      <w:r w:rsidR="00B275DB" w:rsidRPr="00004507">
        <w:rPr>
          <w:rFonts w:ascii="Arial" w:hAnsi="Arial" w:cs="Arial"/>
          <w:color w:val="000000" w:themeColor="text1"/>
          <w:lang w:val="en-US"/>
        </w:rPr>
        <w:t xml:space="preserve">/L </w:t>
      </w:r>
      <w:r w:rsidR="00B63028" w:rsidRPr="00004507">
        <w:rPr>
          <w:rFonts w:ascii="Arial" w:hAnsi="Arial" w:cs="Arial"/>
          <w:color w:val="000000" w:themeColor="text1"/>
          <w:lang w:val="en-US"/>
        </w:rPr>
        <w:t xml:space="preserve">of each </w:t>
      </w:r>
      <w:proofErr w:type="spellStart"/>
      <w:r w:rsidR="00B275DB" w:rsidRPr="00004507">
        <w:rPr>
          <w:rFonts w:ascii="Arial" w:hAnsi="Arial" w:cs="Arial"/>
          <w:color w:val="000000" w:themeColor="text1"/>
          <w:lang w:val="en-US"/>
        </w:rPr>
        <w:t>dNTPs</w:t>
      </w:r>
      <w:proofErr w:type="spellEnd"/>
      <w:r w:rsidR="00B275DB" w:rsidRPr="00004507">
        <w:rPr>
          <w:rFonts w:ascii="Arial" w:hAnsi="Arial" w:cs="Arial"/>
          <w:color w:val="000000" w:themeColor="text1"/>
          <w:lang w:val="en-US"/>
        </w:rPr>
        <w:t xml:space="preserve">, 400 </w:t>
      </w:r>
      <w:proofErr w:type="spellStart"/>
      <w:r w:rsidR="00B275DB" w:rsidRPr="00004507">
        <w:rPr>
          <w:rFonts w:ascii="Arial" w:hAnsi="Arial" w:cs="Arial"/>
          <w:color w:val="000000" w:themeColor="text1"/>
          <w:lang w:val="en-US"/>
        </w:rPr>
        <w:t>nmol</w:t>
      </w:r>
      <w:proofErr w:type="spellEnd"/>
      <w:r w:rsidR="00B275DB" w:rsidRPr="00004507">
        <w:rPr>
          <w:rFonts w:ascii="Arial" w:hAnsi="Arial" w:cs="Arial"/>
          <w:color w:val="000000" w:themeColor="text1"/>
          <w:lang w:val="en-US"/>
        </w:rPr>
        <w:t xml:space="preserve">/L of each primer, 2.0 </w:t>
      </w:r>
      <w:proofErr w:type="spellStart"/>
      <w:r w:rsidR="00B275DB" w:rsidRPr="00004507">
        <w:rPr>
          <w:rFonts w:ascii="Arial" w:hAnsi="Arial" w:cs="Arial"/>
          <w:color w:val="000000" w:themeColor="text1"/>
          <w:lang w:val="en-US"/>
        </w:rPr>
        <w:t>mmol</w:t>
      </w:r>
      <w:proofErr w:type="spellEnd"/>
      <w:r w:rsidR="00B275DB" w:rsidRPr="00004507">
        <w:rPr>
          <w:rFonts w:ascii="Arial" w:hAnsi="Arial" w:cs="Arial"/>
          <w:color w:val="000000" w:themeColor="text1"/>
          <w:lang w:val="en-US"/>
        </w:rPr>
        <w:t>/L MgCl</w:t>
      </w:r>
      <w:r w:rsidR="00B275DB" w:rsidRPr="00004507">
        <w:rPr>
          <w:rFonts w:ascii="Arial" w:hAnsi="Arial" w:cs="Arial"/>
          <w:color w:val="000000" w:themeColor="text1"/>
          <w:vertAlign w:val="subscript"/>
          <w:lang w:val="en-US"/>
        </w:rPr>
        <w:t>2</w:t>
      </w:r>
      <w:r w:rsidRPr="00004507">
        <w:rPr>
          <w:rFonts w:ascii="Arial" w:hAnsi="Arial" w:cs="Arial"/>
          <w:color w:val="000000" w:themeColor="text1"/>
          <w:lang w:val="en-US"/>
        </w:rPr>
        <w:t>,</w:t>
      </w:r>
      <w:r w:rsidR="00B275DB" w:rsidRPr="00004507">
        <w:rPr>
          <w:rFonts w:ascii="Arial" w:hAnsi="Arial" w:cs="Arial"/>
          <w:color w:val="000000" w:themeColor="text1"/>
          <w:lang w:val="en-US"/>
        </w:rPr>
        <w:t xml:space="preserve"> </w:t>
      </w:r>
      <w:r w:rsidR="006516AB" w:rsidRPr="00004507">
        <w:rPr>
          <w:rFonts w:ascii="Arial" w:hAnsi="Arial" w:cs="Arial"/>
          <w:color w:val="000000" w:themeColor="text1"/>
          <w:lang w:val="en-US"/>
        </w:rPr>
        <w:t>and 1.25</w:t>
      </w:r>
      <w:r w:rsidR="00B275DB" w:rsidRPr="00004507">
        <w:rPr>
          <w:rFonts w:ascii="Arial" w:hAnsi="Arial" w:cs="Arial"/>
          <w:color w:val="000000" w:themeColor="text1"/>
          <w:lang w:val="en-US"/>
        </w:rPr>
        <w:t xml:space="preserve"> unit</w:t>
      </w:r>
      <w:r w:rsidRPr="00004507">
        <w:rPr>
          <w:rFonts w:ascii="Arial" w:hAnsi="Arial" w:cs="Arial"/>
          <w:color w:val="000000" w:themeColor="text1"/>
          <w:lang w:val="en-US"/>
        </w:rPr>
        <w:t>s</w:t>
      </w:r>
      <w:r w:rsidR="00B275DB" w:rsidRPr="00004507">
        <w:rPr>
          <w:rFonts w:ascii="Arial" w:hAnsi="Arial" w:cs="Arial"/>
          <w:color w:val="000000" w:themeColor="text1"/>
          <w:lang w:val="en-US"/>
        </w:rPr>
        <w:t xml:space="preserve"> of </w:t>
      </w:r>
      <w:proofErr w:type="spellStart"/>
      <w:r w:rsidR="00B275DB" w:rsidRPr="00004507">
        <w:rPr>
          <w:rFonts w:ascii="Arial" w:hAnsi="Arial" w:cs="Arial"/>
          <w:color w:val="000000" w:themeColor="text1"/>
          <w:lang w:val="en-US"/>
        </w:rPr>
        <w:t>Taq</w:t>
      </w:r>
      <w:proofErr w:type="spellEnd"/>
      <w:r w:rsidR="00B275DB" w:rsidRPr="00004507">
        <w:rPr>
          <w:rFonts w:ascii="Arial" w:hAnsi="Arial" w:cs="Arial"/>
          <w:color w:val="000000" w:themeColor="text1"/>
          <w:lang w:val="en-US"/>
        </w:rPr>
        <w:t xml:space="preserve"> polymerase.</w:t>
      </w:r>
      <w:r w:rsidR="00B63028"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t xml:space="preserve">The PCR conditions </w:t>
      </w:r>
      <w:r w:rsidRPr="00004507">
        <w:rPr>
          <w:rFonts w:ascii="Arial" w:hAnsi="Arial" w:cs="Arial"/>
          <w:color w:val="000000" w:themeColor="text1"/>
          <w:lang w:val="en-US"/>
        </w:rPr>
        <w:t>were</w:t>
      </w:r>
      <w:r w:rsidR="000876FD" w:rsidRPr="00004507">
        <w:rPr>
          <w:rFonts w:ascii="Arial" w:hAnsi="Arial" w:cs="Arial"/>
          <w:color w:val="000000" w:themeColor="text1"/>
          <w:lang w:val="en-US"/>
        </w:rPr>
        <w:t xml:space="preserve"> an initial melting temperature of 94</w:t>
      </w:r>
      <w:r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sym w:font="Symbol" w:char="F0B0"/>
      </w:r>
      <w:r w:rsidR="000876FD" w:rsidRPr="00004507">
        <w:rPr>
          <w:rFonts w:ascii="Arial" w:hAnsi="Arial" w:cs="Arial"/>
          <w:color w:val="000000" w:themeColor="text1"/>
          <w:lang w:val="en-US"/>
        </w:rPr>
        <w:t>C for</w:t>
      </w:r>
      <w:r w:rsidR="00987645"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3 min</w:t>
      </w:r>
      <w:r w:rsidR="007032DB" w:rsidRPr="00004507">
        <w:rPr>
          <w:rFonts w:ascii="Arial" w:hAnsi="Arial" w:cs="Arial"/>
          <w:color w:val="000000" w:themeColor="text1"/>
          <w:lang w:val="en-US"/>
        </w:rPr>
        <w:t>,</w:t>
      </w:r>
      <w:r w:rsidR="000876FD" w:rsidRPr="00004507">
        <w:rPr>
          <w:rFonts w:ascii="Arial" w:hAnsi="Arial" w:cs="Arial"/>
          <w:color w:val="000000" w:themeColor="text1"/>
          <w:lang w:val="en-US"/>
        </w:rPr>
        <w:t xml:space="preserve"> followed by 35 cycles of melting (95</w:t>
      </w:r>
      <w:r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sym w:font="Symbol" w:char="F0B0"/>
      </w:r>
      <w:r w:rsidR="000876FD" w:rsidRPr="00004507">
        <w:rPr>
          <w:rFonts w:ascii="Arial" w:hAnsi="Arial" w:cs="Arial"/>
          <w:color w:val="000000" w:themeColor="text1"/>
          <w:lang w:val="en-US"/>
        </w:rPr>
        <w:t>C, 30 s),</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annealing (67</w:t>
      </w:r>
      <w:r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sym w:font="Symbol" w:char="F0B0"/>
      </w:r>
      <w:r w:rsidR="000876FD" w:rsidRPr="00004507">
        <w:rPr>
          <w:rFonts w:ascii="Arial" w:hAnsi="Arial" w:cs="Arial"/>
          <w:color w:val="000000" w:themeColor="text1"/>
          <w:lang w:val="en-US"/>
        </w:rPr>
        <w:t>C</w:t>
      </w:r>
      <w:r w:rsidRPr="00004507">
        <w:rPr>
          <w:rFonts w:ascii="Arial" w:hAnsi="Arial" w:cs="Arial"/>
          <w:color w:val="000000" w:themeColor="text1"/>
          <w:lang w:val="en-US"/>
        </w:rPr>
        <w:t xml:space="preserve"> for </w:t>
      </w:r>
      <w:r w:rsidRPr="00004507">
        <w:rPr>
          <w:rFonts w:ascii="Arial" w:hAnsi="Arial" w:cs="Arial"/>
          <w:i/>
          <w:color w:val="000000" w:themeColor="text1"/>
          <w:lang w:val="en-US"/>
        </w:rPr>
        <w:t>−</w:t>
      </w:r>
      <w:r w:rsidR="00B275DB" w:rsidRPr="00004507">
        <w:rPr>
          <w:rFonts w:ascii="Arial" w:hAnsi="Arial" w:cs="Arial"/>
          <w:i/>
          <w:color w:val="000000" w:themeColor="text1"/>
          <w:lang w:val="en-US"/>
        </w:rPr>
        <w:t>107T/C</w:t>
      </w:r>
      <w:r w:rsidR="00B275DB" w:rsidRPr="00004507">
        <w:rPr>
          <w:rFonts w:ascii="Arial" w:hAnsi="Arial" w:cs="Arial"/>
          <w:color w:val="000000" w:themeColor="text1"/>
          <w:lang w:val="en-US"/>
        </w:rPr>
        <w:t>, 60</w:t>
      </w:r>
      <w:r w:rsidR="005253D1" w:rsidRPr="00004507">
        <w:rPr>
          <w:rFonts w:ascii="Arial" w:hAnsi="Arial" w:cs="Arial"/>
          <w:color w:val="000000" w:themeColor="text1"/>
          <w:lang w:val="en-US"/>
        </w:rPr>
        <w:t>.5</w:t>
      </w:r>
      <w:r w:rsidRPr="00004507">
        <w:rPr>
          <w:rFonts w:ascii="Arial" w:hAnsi="Arial" w:cs="Arial"/>
          <w:color w:val="000000" w:themeColor="text1"/>
          <w:lang w:val="en-US"/>
        </w:rPr>
        <w:t xml:space="preserve"> </w:t>
      </w:r>
      <w:r w:rsidR="00B275DB" w:rsidRPr="00004507">
        <w:rPr>
          <w:rFonts w:ascii="Arial" w:hAnsi="Arial" w:cs="Arial"/>
          <w:color w:val="000000" w:themeColor="text1"/>
          <w:lang w:val="en-US"/>
        </w:rPr>
        <w:sym w:font="Symbol" w:char="F0B0"/>
      </w:r>
      <w:r w:rsidR="00B275DB" w:rsidRPr="00004507">
        <w:rPr>
          <w:rFonts w:ascii="Arial" w:hAnsi="Arial" w:cs="Arial"/>
          <w:color w:val="000000" w:themeColor="text1"/>
          <w:lang w:val="en-US"/>
        </w:rPr>
        <w:t xml:space="preserve">C for </w:t>
      </w:r>
      <w:r w:rsidR="00B275DB" w:rsidRPr="00004507">
        <w:rPr>
          <w:rFonts w:ascii="Arial" w:hAnsi="Arial" w:cs="Arial"/>
          <w:i/>
          <w:color w:val="000000" w:themeColor="text1"/>
          <w:lang w:val="en-US"/>
        </w:rPr>
        <w:t>192Q/R</w:t>
      </w:r>
      <w:r w:rsidR="00B275DB" w:rsidRPr="00004507">
        <w:rPr>
          <w:rFonts w:ascii="Arial" w:hAnsi="Arial" w:cs="Arial"/>
          <w:color w:val="000000" w:themeColor="text1"/>
          <w:lang w:val="en-US"/>
        </w:rPr>
        <w:t xml:space="preserve"> and </w:t>
      </w:r>
      <w:r w:rsidR="005253D1" w:rsidRPr="00004507">
        <w:rPr>
          <w:rFonts w:ascii="Arial" w:hAnsi="Arial" w:cs="Arial"/>
          <w:color w:val="000000" w:themeColor="text1"/>
          <w:lang w:val="en-US"/>
        </w:rPr>
        <w:t>59</w:t>
      </w:r>
      <w:r w:rsidRPr="00004507">
        <w:rPr>
          <w:rFonts w:ascii="Arial" w:hAnsi="Arial" w:cs="Arial"/>
          <w:color w:val="000000" w:themeColor="text1"/>
          <w:lang w:val="en-US"/>
        </w:rPr>
        <w:t xml:space="preserve"> </w:t>
      </w:r>
      <w:r w:rsidR="005253D1" w:rsidRPr="00004507">
        <w:rPr>
          <w:rFonts w:ascii="Arial" w:hAnsi="Arial" w:cs="Arial"/>
          <w:color w:val="000000" w:themeColor="text1"/>
          <w:lang w:val="en-US"/>
        </w:rPr>
        <w:sym w:font="Symbol" w:char="F0B0"/>
      </w:r>
      <w:r w:rsidR="005253D1" w:rsidRPr="00004507">
        <w:rPr>
          <w:rFonts w:ascii="Arial" w:hAnsi="Arial" w:cs="Arial"/>
          <w:color w:val="000000" w:themeColor="text1"/>
          <w:lang w:val="en-US"/>
        </w:rPr>
        <w:t xml:space="preserve">C for </w:t>
      </w:r>
      <w:r w:rsidR="00B275DB" w:rsidRPr="00004507">
        <w:rPr>
          <w:rFonts w:ascii="Arial" w:hAnsi="Arial" w:cs="Arial"/>
          <w:i/>
          <w:color w:val="000000" w:themeColor="text1"/>
          <w:lang w:val="en-US"/>
        </w:rPr>
        <w:t>55L/M</w:t>
      </w:r>
      <w:r w:rsidR="000876FD" w:rsidRPr="00004507">
        <w:rPr>
          <w:rFonts w:ascii="Arial" w:hAnsi="Arial" w:cs="Arial"/>
          <w:color w:val="000000" w:themeColor="text1"/>
          <w:lang w:val="en-US"/>
        </w:rPr>
        <w:t>, 20 s)</w:t>
      </w:r>
      <w:r w:rsidRPr="00004507">
        <w:rPr>
          <w:rFonts w:ascii="Arial" w:hAnsi="Arial" w:cs="Arial"/>
          <w:color w:val="000000" w:themeColor="text1"/>
          <w:lang w:val="en-US"/>
        </w:rPr>
        <w:t>,</w:t>
      </w:r>
      <w:r w:rsidR="000876FD" w:rsidRPr="00004507">
        <w:rPr>
          <w:rFonts w:ascii="Arial" w:hAnsi="Arial" w:cs="Arial"/>
          <w:color w:val="000000" w:themeColor="text1"/>
          <w:lang w:val="en-US"/>
        </w:rPr>
        <w:t xml:space="preserve"> and extension (72</w:t>
      </w:r>
      <w:r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sym w:font="Symbol" w:char="F0B0"/>
      </w:r>
      <w:r w:rsidR="00F21DE1" w:rsidRPr="00004507">
        <w:rPr>
          <w:rFonts w:ascii="Arial" w:hAnsi="Arial" w:cs="Arial"/>
          <w:color w:val="000000" w:themeColor="text1"/>
          <w:lang w:val="en-US"/>
        </w:rPr>
        <w:t>C, 50 s), with a</w:t>
      </w:r>
      <w:r w:rsidRPr="00004507">
        <w:rPr>
          <w:rFonts w:ascii="Arial" w:hAnsi="Arial" w:cs="Arial"/>
          <w:color w:val="000000" w:themeColor="text1"/>
          <w:lang w:val="en-US"/>
        </w:rPr>
        <w:t>n additional</w:t>
      </w:r>
      <w:r w:rsidR="000876FD" w:rsidRPr="00004507">
        <w:rPr>
          <w:rFonts w:ascii="Arial" w:hAnsi="Arial" w:cs="Arial"/>
          <w:color w:val="000000" w:themeColor="text1"/>
          <w:lang w:val="en-US"/>
        </w:rPr>
        <w:t xml:space="preserve"> final</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extension step (72</w:t>
      </w:r>
      <w:r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sym w:font="Symbol" w:char="F0B0"/>
      </w:r>
      <w:r w:rsidR="000876FD" w:rsidRPr="00004507">
        <w:rPr>
          <w:rFonts w:ascii="Arial" w:hAnsi="Arial" w:cs="Arial"/>
          <w:color w:val="000000" w:themeColor="text1"/>
          <w:lang w:val="en-US"/>
        </w:rPr>
        <w:t>C, 10 min)</w:t>
      </w:r>
      <w:r w:rsidR="00F21DE1" w:rsidRPr="00004507">
        <w:rPr>
          <w:rFonts w:ascii="Arial" w:hAnsi="Arial" w:cs="Arial"/>
          <w:color w:val="000000" w:themeColor="text1"/>
          <w:lang w:val="en-US"/>
        </w:rPr>
        <w:t>.</w:t>
      </w:r>
      <w:r w:rsidR="000876FD" w:rsidRPr="00004507">
        <w:rPr>
          <w:rFonts w:ascii="Arial" w:hAnsi="Arial" w:cs="Arial"/>
          <w:color w:val="000000" w:themeColor="text1"/>
          <w:lang w:val="en-US"/>
        </w:rPr>
        <w:t xml:space="preserve"> </w:t>
      </w:r>
    </w:p>
    <w:p w14:paraId="5DDFE513" w14:textId="774E3A2C" w:rsidR="000876FD" w:rsidRPr="00004507" w:rsidRDefault="00B63028" w:rsidP="00C15EA2">
      <w:pPr>
        <w:autoSpaceDE w:val="0"/>
        <w:autoSpaceDN w:val="0"/>
        <w:adjustRightInd w:val="0"/>
        <w:spacing w:line="276" w:lineRule="auto"/>
        <w:jc w:val="both"/>
        <w:rPr>
          <w:rFonts w:ascii="Arial" w:hAnsi="Arial" w:cs="Arial"/>
          <w:color w:val="000000" w:themeColor="text1"/>
          <w:lang w:val="en-US"/>
        </w:rPr>
      </w:pPr>
      <w:r w:rsidRPr="00004507">
        <w:rPr>
          <w:rFonts w:ascii="Arial" w:hAnsi="Arial" w:cs="Arial"/>
          <w:color w:val="000000" w:themeColor="text1"/>
          <w:lang w:val="en-US"/>
        </w:rPr>
        <w:t>T</w:t>
      </w:r>
      <w:r w:rsidR="0003777E" w:rsidRPr="00004507">
        <w:rPr>
          <w:rFonts w:ascii="Arial" w:hAnsi="Arial" w:cs="Arial"/>
          <w:color w:val="000000" w:themeColor="text1"/>
          <w:lang w:val="en-US"/>
        </w:rPr>
        <w:t xml:space="preserve">he expected PCR product length </w:t>
      </w:r>
      <w:r w:rsidR="002B7423" w:rsidRPr="00004507">
        <w:rPr>
          <w:rFonts w:ascii="Arial" w:hAnsi="Arial" w:cs="Arial"/>
          <w:color w:val="000000" w:themeColor="text1"/>
          <w:lang w:val="en-US"/>
        </w:rPr>
        <w:t xml:space="preserve">for the </w:t>
      </w:r>
      <w:r w:rsidR="002B7423" w:rsidRPr="00004507">
        <w:rPr>
          <w:rFonts w:ascii="Arial" w:hAnsi="Arial" w:cs="Arial"/>
          <w:i/>
          <w:color w:val="000000" w:themeColor="text1"/>
          <w:lang w:val="en-US"/>
        </w:rPr>
        <w:t>−</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w:t>
      </w:r>
      <w:r w:rsidR="004857C5">
        <w:rPr>
          <w:rFonts w:ascii="Arial" w:hAnsi="Arial" w:cs="Arial"/>
          <w:color w:val="000000" w:themeColor="text1"/>
          <w:lang w:val="en-US"/>
        </w:rPr>
        <w:t>variation</w:t>
      </w:r>
      <w:r w:rsidR="004857C5" w:rsidRPr="00004507">
        <w:rPr>
          <w:rFonts w:ascii="Arial" w:hAnsi="Arial" w:cs="Arial"/>
          <w:color w:val="000000" w:themeColor="text1"/>
          <w:lang w:val="en-US"/>
        </w:rPr>
        <w:t xml:space="preserve"> </w:t>
      </w:r>
      <w:r w:rsidR="001348FE" w:rsidRPr="00004507">
        <w:rPr>
          <w:rFonts w:ascii="Arial" w:hAnsi="Arial" w:cs="Arial"/>
          <w:color w:val="000000" w:themeColor="text1"/>
          <w:lang w:val="en-US"/>
        </w:rPr>
        <w:t xml:space="preserve">was 240 </w:t>
      </w:r>
      <w:proofErr w:type="spellStart"/>
      <w:r w:rsidR="001348FE" w:rsidRPr="00004507">
        <w:rPr>
          <w:rFonts w:ascii="Arial" w:hAnsi="Arial" w:cs="Arial"/>
          <w:color w:val="000000" w:themeColor="text1"/>
          <w:lang w:val="en-US"/>
        </w:rPr>
        <w:t>bp</w:t>
      </w:r>
      <w:r w:rsidR="0003777E" w:rsidRPr="00004507">
        <w:rPr>
          <w:rFonts w:ascii="Arial" w:hAnsi="Arial" w:cs="Arial"/>
          <w:color w:val="000000" w:themeColor="text1"/>
          <w:lang w:val="en-US"/>
        </w:rPr>
        <w:t>.</w:t>
      </w:r>
      <w:proofErr w:type="spellEnd"/>
      <w:r w:rsidR="0003777E" w:rsidRPr="00004507">
        <w:rPr>
          <w:rFonts w:ascii="Arial" w:hAnsi="Arial" w:cs="Arial"/>
          <w:color w:val="000000" w:themeColor="text1"/>
          <w:lang w:val="en-US"/>
        </w:rPr>
        <w:t xml:space="preserve"> All </w:t>
      </w:r>
      <w:r w:rsidR="000876FD" w:rsidRPr="00004507">
        <w:rPr>
          <w:rFonts w:ascii="Arial" w:hAnsi="Arial" w:cs="Arial"/>
          <w:color w:val="000000" w:themeColor="text1"/>
          <w:lang w:val="en-US"/>
        </w:rPr>
        <w:t>PCR products</w:t>
      </w:r>
      <w:r w:rsidR="0003777E" w:rsidRPr="00004507">
        <w:rPr>
          <w:rFonts w:ascii="Arial" w:hAnsi="Arial" w:cs="Arial"/>
          <w:color w:val="000000" w:themeColor="text1"/>
          <w:lang w:val="en-US"/>
        </w:rPr>
        <w:t xml:space="preserve"> with </w:t>
      </w:r>
      <w:r w:rsidR="001348FE" w:rsidRPr="00004507">
        <w:rPr>
          <w:rFonts w:ascii="Arial" w:hAnsi="Arial" w:cs="Arial"/>
          <w:color w:val="000000" w:themeColor="text1"/>
          <w:lang w:val="en-US"/>
        </w:rPr>
        <w:t xml:space="preserve">the </w:t>
      </w:r>
      <w:r w:rsidR="0003777E" w:rsidRPr="00004507">
        <w:rPr>
          <w:rFonts w:ascii="Arial" w:hAnsi="Arial" w:cs="Arial"/>
          <w:color w:val="000000" w:themeColor="text1"/>
          <w:lang w:val="en-US"/>
        </w:rPr>
        <w:t>expected length</w:t>
      </w:r>
      <w:r w:rsidR="000876FD" w:rsidRPr="00004507">
        <w:rPr>
          <w:rFonts w:ascii="Arial" w:hAnsi="Arial" w:cs="Arial"/>
          <w:color w:val="000000" w:themeColor="text1"/>
          <w:lang w:val="en-US"/>
        </w:rPr>
        <w:t xml:space="preserve"> were</w:t>
      </w:r>
      <w:r w:rsidR="0003777E" w:rsidRPr="00004507">
        <w:rPr>
          <w:rFonts w:ascii="Arial" w:hAnsi="Arial" w:cs="Arial"/>
          <w:color w:val="000000" w:themeColor="text1"/>
          <w:lang w:val="en-US"/>
        </w:rPr>
        <w:t xml:space="preserve"> subjected to digestion</w:t>
      </w:r>
      <w:r w:rsidR="00F633A3" w:rsidRPr="00004507">
        <w:rPr>
          <w:rFonts w:ascii="Arial" w:hAnsi="Arial" w:cs="Arial"/>
          <w:color w:val="000000" w:themeColor="text1"/>
          <w:lang w:val="en-US"/>
        </w:rPr>
        <w:t xml:space="preserve"> with 10</w:t>
      </w:r>
      <w:r w:rsidR="00DB1ADC" w:rsidRPr="00004507">
        <w:rPr>
          <w:rFonts w:ascii="Arial" w:hAnsi="Arial" w:cs="Arial"/>
          <w:color w:val="000000" w:themeColor="text1"/>
          <w:lang w:val="en-US"/>
        </w:rPr>
        <w:t>-</w:t>
      </w:r>
      <w:r w:rsidR="006516AB" w:rsidRPr="00004507">
        <w:rPr>
          <w:rFonts w:ascii="Arial" w:hAnsi="Arial" w:cs="Arial"/>
          <w:color w:val="000000" w:themeColor="text1"/>
          <w:lang w:val="en-US"/>
        </w:rPr>
        <w:t>unit</w:t>
      </w:r>
      <w:r w:rsidR="000876FD" w:rsidRPr="00004507">
        <w:rPr>
          <w:rFonts w:ascii="Arial" w:hAnsi="Arial" w:cs="Arial"/>
          <w:color w:val="000000" w:themeColor="text1"/>
          <w:lang w:val="en-US"/>
        </w:rPr>
        <w:t xml:space="preserve"> </w:t>
      </w:r>
      <w:proofErr w:type="spellStart"/>
      <w:r w:rsidR="000876FD" w:rsidRPr="00004507">
        <w:rPr>
          <w:rFonts w:ascii="Arial" w:hAnsi="Arial" w:cs="Arial"/>
          <w:i/>
          <w:color w:val="000000" w:themeColor="text1"/>
          <w:lang w:val="en-US"/>
        </w:rPr>
        <w:t>Bsr</w:t>
      </w:r>
      <w:r w:rsidR="000876FD" w:rsidRPr="00004507">
        <w:rPr>
          <w:rFonts w:ascii="Arial" w:hAnsi="Arial" w:cs="Arial"/>
          <w:color w:val="000000" w:themeColor="text1"/>
          <w:lang w:val="en-US"/>
        </w:rPr>
        <w:t>BI</w:t>
      </w:r>
      <w:proofErr w:type="spellEnd"/>
      <w:r w:rsidR="000876FD" w:rsidRPr="00004507">
        <w:rPr>
          <w:rFonts w:ascii="Arial" w:hAnsi="Arial" w:cs="Arial"/>
          <w:color w:val="000000" w:themeColor="text1"/>
          <w:lang w:val="en-US"/>
        </w:rPr>
        <w:t xml:space="preserve"> at 37</w:t>
      </w:r>
      <w:r w:rsidR="001348FE" w:rsidRPr="00004507">
        <w:rPr>
          <w:rFonts w:ascii="Arial" w:hAnsi="Arial" w:cs="Arial"/>
          <w:color w:val="000000" w:themeColor="text1"/>
          <w:lang w:val="en-US"/>
        </w:rPr>
        <w:t xml:space="preserve"> </w:t>
      </w:r>
      <w:r w:rsidR="00F21DE1" w:rsidRPr="00004507">
        <w:rPr>
          <w:rFonts w:ascii="Arial" w:hAnsi="Arial" w:cs="Arial"/>
          <w:color w:val="000000" w:themeColor="text1"/>
          <w:lang w:val="en-US"/>
        </w:rPr>
        <w:sym w:font="Symbol" w:char="F0B0"/>
      </w:r>
      <w:r w:rsidR="000876FD" w:rsidRPr="00004507">
        <w:rPr>
          <w:rFonts w:ascii="Arial" w:hAnsi="Arial" w:cs="Arial"/>
          <w:color w:val="000000" w:themeColor="text1"/>
          <w:lang w:val="en-US"/>
        </w:rPr>
        <w:t>C for</w:t>
      </w:r>
      <w:r w:rsidR="005735E0" w:rsidRPr="00004507">
        <w:rPr>
          <w:rFonts w:ascii="Arial" w:hAnsi="Arial" w:cs="Arial"/>
          <w:color w:val="000000" w:themeColor="text1"/>
          <w:lang w:val="en-US"/>
        </w:rPr>
        <w:t xml:space="preserve"> </w:t>
      </w:r>
      <w:r w:rsidR="00C72E38" w:rsidRPr="00004507">
        <w:rPr>
          <w:rFonts w:ascii="Arial" w:hAnsi="Arial" w:cs="Arial"/>
          <w:color w:val="000000" w:themeColor="text1"/>
          <w:lang w:val="en-US"/>
        </w:rPr>
        <w:t>45 min</w:t>
      </w:r>
      <w:r w:rsidR="000876FD" w:rsidRPr="00004507">
        <w:rPr>
          <w:rFonts w:ascii="Arial" w:hAnsi="Arial" w:cs="Arial"/>
          <w:color w:val="000000" w:themeColor="text1"/>
          <w:lang w:val="en-US"/>
        </w:rPr>
        <w:t xml:space="preserve">, </w:t>
      </w:r>
      <w:r w:rsidR="0003777E" w:rsidRPr="00004507">
        <w:rPr>
          <w:rFonts w:ascii="Arial" w:hAnsi="Arial" w:cs="Arial"/>
          <w:color w:val="000000" w:themeColor="text1"/>
          <w:lang w:val="en-US"/>
        </w:rPr>
        <w:t xml:space="preserve">which </w:t>
      </w:r>
      <w:r w:rsidR="001348FE" w:rsidRPr="00004507">
        <w:rPr>
          <w:rFonts w:ascii="Arial" w:hAnsi="Arial" w:cs="Arial"/>
          <w:color w:val="000000" w:themeColor="text1"/>
          <w:lang w:val="en-US"/>
        </w:rPr>
        <w:t xml:space="preserve">resulted in 28 and 212 </w:t>
      </w:r>
      <w:proofErr w:type="spellStart"/>
      <w:r w:rsidR="000876FD" w:rsidRPr="00004507">
        <w:rPr>
          <w:rFonts w:ascii="Arial" w:hAnsi="Arial" w:cs="Arial"/>
          <w:color w:val="000000" w:themeColor="text1"/>
          <w:lang w:val="en-US"/>
        </w:rPr>
        <w:t>bp</w:t>
      </w:r>
      <w:proofErr w:type="spellEnd"/>
      <w:r w:rsidR="000876FD" w:rsidRPr="00004507">
        <w:rPr>
          <w:rFonts w:ascii="Arial" w:hAnsi="Arial" w:cs="Arial"/>
          <w:color w:val="000000" w:themeColor="text1"/>
          <w:lang w:val="en-US"/>
        </w:rPr>
        <w:t xml:space="preserve"> fragments for the </w:t>
      </w:r>
      <w:r w:rsidR="000876FD" w:rsidRPr="00004507">
        <w:rPr>
          <w:rFonts w:ascii="Arial" w:hAnsi="Arial" w:cs="Arial"/>
          <w:i/>
          <w:color w:val="000000" w:themeColor="text1"/>
          <w:lang w:val="en-US"/>
        </w:rPr>
        <w:t>C</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 xml:space="preserve">allele and a non-digested </w:t>
      </w:r>
      <w:r w:rsidR="001348FE" w:rsidRPr="00004507">
        <w:rPr>
          <w:rFonts w:ascii="Arial" w:hAnsi="Arial" w:cs="Arial"/>
          <w:color w:val="000000" w:themeColor="text1"/>
          <w:lang w:val="en-US"/>
        </w:rPr>
        <w:t xml:space="preserve">240 </w:t>
      </w:r>
      <w:proofErr w:type="spellStart"/>
      <w:r w:rsidR="000876FD" w:rsidRPr="00004507">
        <w:rPr>
          <w:rFonts w:ascii="Arial" w:hAnsi="Arial" w:cs="Arial"/>
          <w:color w:val="000000" w:themeColor="text1"/>
          <w:lang w:val="en-US"/>
        </w:rPr>
        <w:t>bp</w:t>
      </w:r>
      <w:proofErr w:type="spellEnd"/>
      <w:r w:rsidR="000876FD" w:rsidRPr="00004507">
        <w:rPr>
          <w:rFonts w:ascii="Arial" w:hAnsi="Arial" w:cs="Arial"/>
          <w:color w:val="000000" w:themeColor="text1"/>
          <w:lang w:val="en-US"/>
        </w:rPr>
        <w:t xml:space="preserve"> fragment for the </w:t>
      </w:r>
      <w:r w:rsidR="000876FD" w:rsidRPr="00004507">
        <w:rPr>
          <w:rFonts w:ascii="Arial" w:hAnsi="Arial" w:cs="Arial"/>
          <w:i/>
          <w:color w:val="000000" w:themeColor="text1"/>
          <w:lang w:val="en-US"/>
        </w:rPr>
        <w:t>T</w:t>
      </w:r>
      <w:r w:rsidR="000876FD" w:rsidRPr="00004507">
        <w:rPr>
          <w:rFonts w:ascii="Arial" w:hAnsi="Arial" w:cs="Arial"/>
          <w:color w:val="000000" w:themeColor="text1"/>
          <w:lang w:val="en-US"/>
        </w:rPr>
        <w:t xml:space="preserve"> allele.</w:t>
      </w:r>
      <w:r w:rsidR="00F21DE1" w:rsidRPr="00004507">
        <w:rPr>
          <w:rFonts w:ascii="Arial" w:hAnsi="Arial" w:cs="Arial"/>
          <w:color w:val="000000" w:themeColor="text1"/>
          <w:lang w:val="en-US"/>
        </w:rPr>
        <w:t xml:space="preserve"> </w:t>
      </w:r>
      <w:r w:rsidR="00306879" w:rsidRPr="00004507">
        <w:rPr>
          <w:rFonts w:ascii="Arial" w:hAnsi="Arial" w:cs="Arial"/>
          <w:color w:val="000000" w:themeColor="text1"/>
          <w:lang w:val="en-US"/>
        </w:rPr>
        <w:t xml:space="preserve">For the </w:t>
      </w:r>
      <w:r w:rsidR="00306879" w:rsidRPr="00004507">
        <w:rPr>
          <w:rFonts w:ascii="Arial" w:hAnsi="Arial" w:cs="Arial"/>
          <w:i/>
          <w:color w:val="000000" w:themeColor="text1"/>
          <w:lang w:val="en-US"/>
        </w:rPr>
        <w:t>192Q/R</w:t>
      </w:r>
      <w:r w:rsidR="00306879" w:rsidRPr="00004507">
        <w:rPr>
          <w:rFonts w:ascii="Arial" w:hAnsi="Arial" w:cs="Arial"/>
          <w:color w:val="000000" w:themeColor="text1"/>
          <w:lang w:val="en-US"/>
        </w:rPr>
        <w:t xml:space="preserve"> </w:t>
      </w:r>
      <w:r w:rsidR="004857C5">
        <w:rPr>
          <w:rFonts w:ascii="Arial" w:hAnsi="Arial" w:cs="Arial"/>
          <w:color w:val="000000" w:themeColor="text1"/>
          <w:lang w:val="en-US"/>
        </w:rPr>
        <w:t>variation</w:t>
      </w:r>
      <w:r w:rsidR="00306879" w:rsidRPr="00004507">
        <w:rPr>
          <w:rFonts w:ascii="Arial" w:hAnsi="Arial" w:cs="Arial"/>
          <w:color w:val="000000" w:themeColor="text1"/>
          <w:lang w:val="en-US"/>
        </w:rPr>
        <w:t xml:space="preserve">, PCR products </w:t>
      </w:r>
      <w:r w:rsidR="001348FE" w:rsidRPr="00004507">
        <w:rPr>
          <w:rFonts w:ascii="Arial" w:hAnsi="Arial" w:cs="Arial"/>
          <w:color w:val="000000" w:themeColor="text1"/>
          <w:lang w:val="en-US"/>
        </w:rPr>
        <w:t xml:space="preserve">with the expected </w:t>
      </w:r>
      <w:r w:rsidR="003E5CC6" w:rsidRPr="00004507">
        <w:rPr>
          <w:rFonts w:ascii="Arial" w:hAnsi="Arial" w:cs="Arial"/>
          <w:color w:val="000000" w:themeColor="text1"/>
          <w:lang w:val="en-US"/>
        </w:rPr>
        <w:t>length</w:t>
      </w:r>
      <w:r w:rsidR="0036297B" w:rsidRPr="00004507">
        <w:rPr>
          <w:rFonts w:ascii="Arial" w:hAnsi="Arial" w:cs="Arial"/>
          <w:color w:val="000000" w:themeColor="text1"/>
          <w:lang w:val="en-US"/>
        </w:rPr>
        <w:t xml:space="preserve"> of 238 </w:t>
      </w:r>
      <w:proofErr w:type="spellStart"/>
      <w:r w:rsidR="0036297B" w:rsidRPr="00004507">
        <w:rPr>
          <w:rFonts w:ascii="Arial" w:hAnsi="Arial" w:cs="Arial"/>
          <w:color w:val="000000" w:themeColor="text1"/>
          <w:lang w:val="en-US"/>
        </w:rPr>
        <w:t>bp</w:t>
      </w:r>
      <w:proofErr w:type="spellEnd"/>
      <w:r w:rsidR="003E5CC6" w:rsidRPr="00004507">
        <w:rPr>
          <w:rFonts w:ascii="Arial" w:hAnsi="Arial" w:cs="Arial"/>
          <w:color w:val="000000" w:themeColor="text1"/>
          <w:lang w:val="en-US"/>
        </w:rPr>
        <w:t xml:space="preserve"> </w:t>
      </w:r>
      <w:r w:rsidR="00306879" w:rsidRPr="00004507">
        <w:rPr>
          <w:rFonts w:ascii="Arial" w:hAnsi="Arial" w:cs="Arial"/>
          <w:color w:val="000000" w:themeColor="text1"/>
          <w:lang w:val="en-US"/>
        </w:rPr>
        <w:t xml:space="preserve">were digested </w:t>
      </w:r>
      <w:r w:rsidR="00DB1ADC" w:rsidRPr="00004507">
        <w:rPr>
          <w:rFonts w:ascii="Arial" w:hAnsi="Arial" w:cs="Arial"/>
          <w:color w:val="000000" w:themeColor="text1"/>
          <w:lang w:val="en-US"/>
        </w:rPr>
        <w:t>with 2-</w:t>
      </w:r>
      <w:r w:rsidR="006516AB" w:rsidRPr="00004507">
        <w:rPr>
          <w:rFonts w:ascii="Arial" w:hAnsi="Arial" w:cs="Arial"/>
          <w:color w:val="000000" w:themeColor="text1"/>
          <w:lang w:val="en-US"/>
        </w:rPr>
        <w:t>unit</w:t>
      </w:r>
      <w:r w:rsidR="00306879" w:rsidRPr="00004507">
        <w:rPr>
          <w:rFonts w:ascii="Arial" w:hAnsi="Arial" w:cs="Arial"/>
          <w:color w:val="000000" w:themeColor="text1"/>
          <w:lang w:val="en-US"/>
        </w:rPr>
        <w:t xml:space="preserve"> </w:t>
      </w:r>
      <w:proofErr w:type="spellStart"/>
      <w:r w:rsidR="005253D1" w:rsidRPr="00004507">
        <w:rPr>
          <w:rFonts w:ascii="Arial" w:hAnsi="Arial" w:cs="Arial"/>
          <w:i/>
          <w:color w:val="000000" w:themeColor="text1"/>
          <w:lang w:val="en-US"/>
        </w:rPr>
        <w:t>Alw</w:t>
      </w:r>
      <w:r w:rsidR="005253D1" w:rsidRPr="00004507">
        <w:rPr>
          <w:rFonts w:ascii="Arial" w:hAnsi="Arial" w:cs="Arial"/>
          <w:color w:val="000000" w:themeColor="text1"/>
          <w:lang w:val="en-US"/>
        </w:rPr>
        <w:t>I</w:t>
      </w:r>
      <w:proofErr w:type="spellEnd"/>
      <w:r w:rsidR="005253D1" w:rsidRPr="00004507">
        <w:rPr>
          <w:rFonts w:ascii="Arial" w:hAnsi="Arial" w:cs="Arial"/>
          <w:color w:val="000000" w:themeColor="text1"/>
          <w:lang w:val="en-US"/>
        </w:rPr>
        <w:t xml:space="preserve"> </w:t>
      </w:r>
      <w:r w:rsidR="00625D5E" w:rsidRPr="00004507">
        <w:rPr>
          <w:rFonts w:ascii="Arial" w:hAnsi="Arial" w:cs="Arial"/>
          <w:color w:val="000000" w:themeColor="text1"/>
          <w:lang w:val="en-US"/>
        </w:rPr>
        <w:t>at 55</w:t>
      </w:r>
      <w:r w:rsidR="00993F2A" w:rsidRPr="00004507">
        <w:rPr>
          <w:rFonts w:ascii="Arial" w:hAnsi="Arial" w:cs="Arial"/>
          <w:color w:val="000000" w:themeColor="text1"/>
          <w:lang w:val="en-US"/>
        </w:rPr>
        <w:t xml:space="preserve"> </w:t>
      </w:r>
      <w:r w:rsidR="00306879" w:rsidRPr="00004507">
        <w:rPr>
          <w:rFonts w:ascii="Arial" w:hAnsi="Arial" w:cs="Arial"/>
          <w:color w:val="000000" w:themeColor="text1"/>
          <w:lang w:val="en-US"/>
        </w:rPr>
        <w:t xml:space="preserve">°C for </w:t>
      </w:r>
      <w:r w:rsidR="00C72E38" w:rsidRPr="00004507">
        <w:rPr>
          <w:rFonts w:ascii="Arial" w:hAnsi="Arial" w:cs="Arial"/>
          <w:color w:val="000000" w:themeColor="text1"/>
          <w:lang w:val="en-US"/>
        </w:rPr>
        <w:t>17</w:t>
      </w:r>
      <w:r w:rsidR="00993F2A" w:rsidRPr="00004507">
        <w:rPr>
          <w:rFonts w:ascii="Arial" w:hAnsi="Arial" w:cs="Arial"/>
          <w:color w:val="000000" w:themeColor="text1"/>
          <w:lang w:val="en-US"/>
        </w:rPr>
        <w:t xml:space="preserve"> h, resulting in 66 and 172 </w:t>
      </w:r>
      <w:proofErr w:type="spellStart"/>
      <w:r w:rsidR="00306879" w:rsidRPr="00004507">
        <w:rPr>
          <w:rFonts w:ascii="Arial" w:hAnsi="Arial" w:cs="Arial"/>
          <w:color w:val="000000" w:themeColor="text1"/>
          <w:lang w:val="en-US"/>
        </w:rPr>
        <w:t>bp</w:t>
      </w:r>
      <w:proofErr w:type="spellEnd"/>
      <w:r w:rsidR="00306879" w:rsidRPr="00004507">
        <w:rPr>
          <w:rFonts w:ascii="Arial" w:hAnsi="Arial" w:cs="Arial"/>
          <w:color w:val="000000" w:themeColor="text1"/>
          <w:lang w:val="en-US"/>
        </w:rPr>
        <w:t xml:space="preserve"> fragments for the </w:t>
      </w:r>
      <w:r w:rsidR="00306879" w:rsidRPr="00004507">
        <w:rPr>
          <w:rFonts w:ascii="Arial" w:hAnsi="Arial" w:cs="Arial"/>
          <w:i/>
          <w:color w:val="000000" w:themeColor="text1"/>
          <w:lang w:val="en-US"/>
        </w:rPr>
        <w:t>192R</w:t>
      </w:r>
      <w:r w:rsidR="00993F2A" w:rsidRPr="00004507">
        <w:rPr>
          <w:rFonts w:ascii="Arial" w:hAnsi="Arial" w:cs="Arial"/>
          <w:color w:val="000000" w:themeColor="text1"/>
          <w:lang w:val="en-US"/>
        </w:rPr>
        <w:t xml:space="preserve"> allele and a non-digested 238 </w:t>
      </w:r>
      <w:proofErr w:type="spellStart"/>
      <w:r w:rsidR="00306879" w:rsidRPr="00004507">
        <w:rPr>
          <w:rFonts w:ascii="Arial" w:hAnsi="Arial" w:cs="Arial"/>
          <w:color w:val="000000" w:themeColor="text1"/>
          <w:lang w:val="en-US"/>
        </w:rPr>
        <w:t>bp</w:t>
      </w:r>
      <w:proofErr w:type="spellEnd"/>
      <w:r w:rsidR="00306879" w:rsidRPr="00004507">
        <w:rPr>
          <w:rFonts w:ascii="Arial" w:hAnsi="Arial" w:cs="Arial"/>
          <w:color w:val="000000" w:themeColor="text1"/>
          <w:lang w:val="en-US"/>
        </w:rPr>
        <w:t xml:space="preserve"> fragment for the </w:t>
      </w:r>
      <w:r w:rsidR="00306879" w:rsidRPr="00004507">
        <w:rPr>
          <w:rFonts w:ascii="Arial" w:hAnsi="Arial" w:cs="Arial"/>
          <w:i/>
          <w:color w:val="000000" w:themeColor="text1"/>
          <w:lang w:val="en-US"/>
        </w:rPr>
        <w:t>192Q</w:t>
      </w:r>
      <w:r w:rsidR="00306879" w:rsidRPr="00004507">
        <w:rPr>
          <w:rFonts w:ascii="Arial" w:hAnsi="Arial" w:cs="Arial"/>
          <w:color w:val="000000" w:themeColor="text1"/>
          <w:lang w:val="en-US"/>
        </w:rPr>
        <w:t xml:space="preserve"> allele. </w:t>
      </w:r>
      <w:r w:rsidR="00625D5E" w:rsidRPr="00004507">
        <w:rPr>
          <w:rFonts w:ascii="Arial" w:hAnsi="Arial" w:cs="Arial"/>
          <w:color w:val="000000" w:themeColor="text1"/>
          <w:lang w:val="en-US"/>
        </w:rPr>
        <w:t>The PCR products f</w:t>
      </w:r>
      <w:r w:rsidR="00306879" w:rsidRPr="00004507">
        <w:rPr>
          <w:rFonts w:ascii="Arial" w:hAnsi="Arial" w:cs="Arial"/>
          <w:color w:val="000000" w:themeColor="text1"/>
          <w:lang w:val="en-US"/>
        </w:rPr>
        <w:t xml:space="preserve">or </w:t>
      </w:r>
      <w:r w:rsidR="00625D5E" w:rsidRPr="00004507">
        <w:rPr>
          <w:rFonts w:ascii="Arial" w:hAnsi="Arial" w:cs="Arial"/>
          <w:color w:val="000000" w:themeColor="text1"/>
          <w:lang w:val="en-US"/>
        </w:rPr>
        <w:t xml:space="preserve">the </w:t>
      </w:r>
      <w:r w:rsidR="00625D5E" w:rsidRPr="00004507">
        <w:rPr>
          <w:rFonts w:ascii="Arial" w:hAnsi="Arial" w:cs="Arial"/>
          <w:i/>
          <w:color w:val="000000" w:themeColor="text1"/>
          <w:lang w:val="en-US"/>
        </w:rPr>
        <w:t>55L/M</w:t>
      </w:r>
      <w:r w:rsidR="004D3B9C" w:rsidRPr="00004507">
        <w:rPr>
          <w:rFonts w:ascii="Arial" w:hAnsi="Arial" w:cs="Arial"/>
          <w:color w:val="000000" w:themeColor="text1"/>
          <w:lang w:val="en-US"/>
        </w:rPr>
        <w:t xml:space="preserve"> </w:t>
      </w:r>
      <w:proofErr w:type="spellStart"/>
      <w:r w:rsidR="004857C5">
        <w:rPr>
          <w:rFonts w:ascii="Arial" w:hAnsi="Arial" w:cs="Arial"/>
          <w:color w:val="000000" w:themeColor="text1"/>
          <w:lang w:val="en-US"/>
        </w:rPr>
        <w:t>variation</w:t>
      </w:r>
      <w:r w:rsidR="004D3B9C" w:rsidRPr="00004507">
        <w:rPr>
          <w:rFonts w:ascii="Arial" w:hAnsi="Arial" w:cs="Arial"/>
          <w:color w:val="000000" w:themeColor="text1"/>
          <w:lang w:val="en-US"/>
        </w:rPr>
        <w:t>with</w:t>
      </w:r>
      <w:proofErr w:type="spellEnd"/>
      <w:r w:rsidR="004D3B9C" w:rsidRPr="00004507">
        <w:rPr>
          <w:rFonts w:ascii="Arial" w:hAnsi="Arial" w:cs="Arial"/>
          <w:color w:val="000000" w:themeColor="text1"/>
          <w:lang w:val="en-US"/>
        </w:rPr>
        <w:t xml:space="preserve"> the expected </w:t>
      </w:r>
      <w:r w:rsidR="00625D5E" w:rsidRPr="00004507">
        <w:rPr>
          <w:rFonts w:ascii="Arial" w:hAnsi="Arial" w:cs="Arial"/>
          <w:color w:val="000000" w:themeColor="text1"/>
          <w:lang w:val="en-US"/>
        </w:rPr>
        <w:t xml:space="preserve">length of </w:t>
      </w:r>
      <w:r w:rsidR="004D3B9C" w:rsidRPr="00004507">
        <w:rPr>
          <w:rFonts w:ascii="Arial" w:hAnsi="Arial" w:cs="Arial"/>
          <w:color w:val="000000" w:themeColor="text1"/>
          <w:lang w:val="en-US"/>
        </w:rPr>
        <w:t xml:space="preserve">172 </w:t>
      </w:r>
      <w:proofErr w:type="spellStart"/>
      <w:r w:rsidR="00306879" w:rsidRPr="00004507">
        <w:rPr>
          <w:rFonts w:ascii="Arial" w:hAnsi="Arial" w:cs="Arial"/>
          <w:color w:val="000000" w:themeColor="text1"/>
          <w:lang w:val="en-US"/>
        </w:rPr>
        <w:t>bp</w:t>
      </w:r>
      <w:proofErr w:type="spellEnd"/>
      <w:r w:rsidR="00306879" w:rsidRPr="00004507">
        <w:rPr>
          <w:rFonts w:ascii="Arial" w:hAnsi="Arial" w:cs="Arial"/>
          <w:color w:val="000000" w:themeColor="text1"/>
          <w:lang w:val="en-US"/>
        </w:rPr>
        <w:t xml:space="preserve"> </w:t>
      </w:r>
      <w:r w:rsidR="00C72E38" w:rsidRPr="00004507">
        <w:rPr>
          <w:rFonts w:ascii="Arial" w:hAnsi="Arial" w:cs="Arial"/>
          <w:color w:val="000000" w:themeColor="text1"/>
          <w:lang w:val="en-US"/>
        </w:rPr>
        <w:t xml:space="preserve">were digested with </w:t>
      </w:r>
      <w:r w:rsidR="00DB1ADC" w:rsidRPr="00004507">
        <w:rPr>
          <w:rFonts w:ascii="Arial" w:hAnsi="Arial" w:cs="Arial"/>
          <w:color w:val="000000" w:themeColor="text1"/>
          <w:lang w:val="en-US"/>
        </w:rPr>
        <w:t>5-</w:t>
      </w:r>
      <w:r w:rsidR="006516AB" w:rsidRPr="00004507">
        <w:rPr>
          <w:rFonts w:ascii="Arial" w:hAnsi="Arial" w:cs="Arial"/>
          <w:color w:val="000000" w:themeColor="text1"/>
          <w:lang w:val="en-US"/>
        </w:rPr>
        <w:t>unit</w:t>
      </w:r>
      <w:r w:rsidR="00306879" w:rsidRPr="00004507">
        <w:rPr>
          <w:rFonts w:ascii="Arial" w:hAnsi="Arial" w:cs="Arial"/>
          <w:color w:val="000000" w:themeColor="text1"/>
          <w:lang w:val="en-US"/>
        </w:rPr>
        <w:t xml:space="preserve"> </w:t>
      </w:r>
      <w:proofErr w:type="spellStart"/>
      <w:r w:rsidR="00C72E38" w:rsidRPr="00004507">
        <w:rPr>
          <w:rFonts w:ascii="Arial" w:hAnsi="Arial" w:cs="Arial"/>
          <w:i/>
          <w:color w:val="000000" w:themeColor="text1"/>
          <w:lang w:val="en-US"/>
        </w:rPr>
        <w:t>Nla</w:t>
      </w:r>
      <w:r w:rsidR="00C72E38" w:rsidRPr="00004507">
        <w:rPr>
          <w:rFonts w:ascii="Arial" w:hAnsi="Arial" w:cs="Arial"/>
          <w:color w:val="000000" w:themeColor="text1"/>
          <w:lang w:val="en-US"/>
        </w:rPr>
        <w:t>III</w:t>
      </w:r>
      <w:proofErr w:type="spellEnd"/>
      <w:r w:rsidR="00C72E38" w:rsidRPr="00004507">
        <w:rPr>
          <w:rFonts w:ascii="Arial" w:hAnsi="Arial" w:cs="Arial"/>
          <w:color w:val="000000" w:themeColor="text1"/>
          <w:lang w:val="en-US"/>
        </w:rPr>
        <w:t xml:space="preserve"> at 37</w:t>
      </w:r>
      <w:r w:rsidR="004D3B9C" w:rsidRPr="00004507">
        <w:rPr>
          <w:rFonts w:ascii="Arial" w:hAnsi="Arial" w:cs="Arial"/>
          <w:color w:val="000000" w:themeColor="text1"/>
          <w:lang w:val="en-US"/>
        </w:rPr>
        <w:t xml:space="preserve"> </w:t>
      </w:r>
      <w:r w:rsidR="00306879" w:rsidRPr="00004507">
        <w:rPr>
          <w:rFonts w:ascii="Arial" w:hAnsi="Arial" w:cs="Arial"/>
          <w:color w:val="000000" w:themeColor="text1"/>
          <w:lang w:val="en-US"/>
        </w:rPr>
        <w:t xml:space="preserve">°C </w:t>
      </w:r>
      <w:r w:rsidR="00C72E38" w:rsidRPr="00004507">
        <w:rPr>
          <w:rFonts w:ascii="Arial" w:hAnsi="Arial" w:cs="Arial"/>
          <w:color w:val="000000" w:themeColor="text1"/>
          <w:lang w:val="en-US"/>
        </w:rPr>
        <w:t>for 17</w:t>
      </w:r>
      <w:r w:rsidR="00306879" w:rsidRPr="00004507">
        <w:rPr>
          <w:rFonts w:ascii="Arial" w:hAnsi="Arial" w:cs="Arial"/>
          <w:color w:val="000000" w:themeColor="text1"/>
          <w:lang w:val="en-US"/>
        </w:rPr>
        <w:t xml:space="preserve"> h. The digesti</w:t>
      </w:r>
      <w:r w:rsidR="00EB4806" w:rsidRPr="00004507">
        <w:rPr>
          <w:rFonts w:ascii="Arial" w:hAnsi="Arial" w:cs="Arial"/>
          <w:color w:val="000000" w:themeColor="text1"/>
          <w:lang w:val="en-US"/>
        </w:rPr>
        <w:t xml:space="preserve">on resulted in 66 and 106 </w:t>
      </w:r>
      <w:proofErr w:type="spellStart"/>
      <w:r w:rsidR="00306879" w:rsidRPr="00004507">
        <w:rPr>
          <w:rFonts w:ascii="Arial" w:hAnsi="Arial" w:cs="Arial"/>
          <w:color w:val="000000" w:themeColor="text1"/>
          <w:lang w:val="en-US"/>
        </w:rPr>
        <w:t>bp</w:t>
      </w:r>
      <w:proofErr w:type="spellEnd"/>
      <w:r w:rsidR="00306879" w:rsidRPr="00004507">
        <w:rPr>
          <w:rFonts w:ascii="Arial" w:hAnsi="Arial" w:cs="Arial"/>
          <w:color w:val="000000" w:themeColor="text1"/>
          <w:lang w:val="en-US"/>
        </w:rPr>
        <w:t xml:space="preserve"> fragments for the </w:t>
      </w:r>
      <w:r w:rsidR="00306879" w:rsidRPr="00004507">
        <w:rPr>
          <w:rFonts w:ascii="Arial" w:hAnsi="Arial" w:cs="Arial"/>
          <w:i/>
          <w:color w:val="000000" w:themeColor="text1"/>
          <w:lang w:val="en-US"/>
        </w:rPr>
        <w:t>55M</w:t>
      </w:r>
      <w:r w:rsidR="00EB4806" w:rsidRPr="00004507">
        <w:rPr>
          <w:rFonts w:ascii="Arial" w:hAnsi="Arial" w:cs="Arial"/>
          <w:color w:val="000000" w:themeColor="text1"/>
          <w:lang w:val="en-US"/>
        </w:rPr>
        <w:t xml:space="preserve"> allele and a non-digested 172 </w:t>
      </w:r>
      <w:proofErr w:type="spellStart"/>
      <w:r w:rsidR="00306879" w:rsidRPr="00004507">
        <w:rPr>
          <w:rFonts w:ascii="Arial" w:hAnsi="Arial" w:cs="Arial"/>
          <w:color w:val="000000" w:themeColor="text1"/>
          <w:lang w:val="en-US"/>
        </w:rPr>
        <w:t>bp</w:t>
      </w:r>
      <w:proofErr w:type="spellEnd"/>
      <w:r w:rsidR="00306879" w:rsidRPr="00004507">
        <w:rPr>
          <w:rFonts w:ascii="Arial" w:hAnsi="Arial" w:cs="Arial"/>
          <w:color w:val="000000" w:themeColor="text1"/>
          <w:lang w:val="en-US"/>
        </w:rPr>
        <w:t xml:space="preserve"> fragment for the </w:t>
      </w:r>
      <w:r w:rsidR="00306879" w:rsidRPr="00004507">
        <w:rPr>
          <w:rFonts w:ascii="Arial" w:hAnsi="Arial" w:cs="Arial"/>
          <w:i/>
          <w:color w:val="000000" w:themeColor="text1"/>
          <w:lang w:val="en-US"/>
        </w:rPr>
        <w:t>55L</w:t>
      </w:r>
      <w:r w:rsidR="00306879" w:rsidRPr="00004507">
        <w:rPr>
          <w:rFonts w:ascii="Arial" w:hAnsi="Arial" w:cs="Arial"/>
          <w:color w:val="000000" w:themeColor="text1"/>
          <w:lang w:val="en-US"/>
        </w:rPr>
        <w:t xml:space="preserve"> allele.</w:t>
      </w:r>
      <w:r w:rsidR="00A11503" w:rsidRPr="00004507">
        <w:rPr>
          <w:rFonts w:ascii="Arial" w:hAnsi="Arial" w:cs="Arial"/>
          <w:color w:val="000000" w:themeColor="text1"/>
          <w:lang w:val="en-US"/>
        </w:rPr>
        <w:t xml:space="preserve"> </w:t>
      </w:r>
      <w:r w:rsidR="00684BD8" w:rsidRPr="00004507">
        <w:rPr>
          <w:rFonts w:ascii="Arial" w:hAnsi="Arial" w:cs="Arial"/>
          <w:color w:val="000000" w:themeColor="text1"/>
          <w:lang w:val="en-US"/>
        </w:rPr>
        <w:t>Digestion</w:t>
      </w:r>
      <w:r w:rsidR="000876FD" w:rsidRPr="00004507">
        <w:rPr>
          <w:rFonts w:ascii="Arial" w:hAnsi="Arial" w:cs="Arial"/>
          <w:color w:val="000000" w:themeColor="text1"/>
          <w:lang w:val="en-US"/>
        </w:rPr>
        <w:t xml:space="preserve"> products were resolved by </w:t>
      </w:r>
      <w:r w:rsidR="00B275DB" w:rsidRPr="00004507">
        <w:rPr>
          <w:rFonts w:ascii="Arial" w:hAnsi="Arial" w:cs="Arial"/>
          <w:color w:val="000000" w:themeColor="text1"/>
          <w:lang w:val="en-US"/>
        </w:rPr>
        <w:t xml:space="preserve">2.5% agarose </w:t>
      </w:r>
      <w:r w:rsidR="000876FD" w:rsidRPr="00004507">
        <w:rPr>
          <w:rFonts w:ascii="Arial" w:hAnsi="Arial" w:cs="Arial"/>
          <w:color w:val="000000" w:themeColor="text1"/>
          <w:lang w:val="en-US"/>
        </w:rPr>
        <w:t>gel electrophoresis</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 xml:space="preserve">and visualized by </w:t>
      </w:r>
      <w:proofErr w:type="spellStart"/>
      <w:r w:rsidR="000876FD" w:rsidRPr="00004507">
        <w:rPr>
          <w:rFonts w:ascii="Arial" w:hAnsi="Arial" w:cs="Arial"/>
          <w:color w:val="000000" w:themeColor="text1"/>
          <w:lang w:val="en-US"/>
        </w:rPr>
        <w:t>ethidium</w:t>
      </w:r>
      <w:proofErr w:type="spellEnd"/>
      <w:r w:rsidR="000876FD" w:rsidRPr="00004507">
        <w:rPr>
          <w:rFonts w:ascii="Arial" w:hAnsi="Arial" w:cs="Arial"/>
          <w:color w:val="000000" w:themeColor="text1"/>
          <w:lang w:val="en-US"/>
        </w:rPr>
        <w:t xml:space="preserve"> bromide</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staining.</w:t>
      </w:r>
      <w:r w:rsidR="00EB4806" w:rsidRPr="00004507">
        <w:rPr>
          <w:rFonts w:ascii="Arial" w:hAnsi="Arial" w:cs="Arial"/>
          <w:color w:val="000000" w:themeColor="text1"/>
          <w:lang w:val="en-US"/>
        </w:rPr>
        <w:t xml:space="preserve"> The a</w:t>
      </w:r>
      <w:r w:rsidR="000876FD" w:rsidRPr="00004507">
        <w:rPr>
          <w:rFonts w:ascii="Arial" w:hAnsi="Arial" w:cs="Arial"/>
          <w:color w:val="000000" w:themeColor="text1"/>
          <w:lang w:val="en-US"/>
        </w:rPr>
        <w:t>llele frequencies</w:t>
      </w:r>
      <w:r w:rsidR="005735E0" w:rsidRPr="00004507">
        <w:rPr>
          <w:rFonts w:ascii="Arial" w:hAnsi="Arial" w:cs="Arial"/>
          <w:color w:val="000000" w:themeColor="text1"/>
          <w:lang w:val="en-US"/>
        </w:rPr>
        <w:t xml:space="preserve"> </w:t>
      </w:r>
      <w:r w:rsidR="000876FD" w:rsidRPr="00004507">
        <w:rPr>
          <w:rFonts w:ascii="Arial" w:hAnsi="Arial" w:cs="Arial"/>
          <w:color w:val="000000" w:themeColor="text1"/>
          <w:lang w:val="en-US"/>
        </w:rPr>
        <w:t>were obtained by direct gene counting.</w:t>
      </w:r>
    </w:p>
    <w:p w14:paraId="37570224" w14:textId="77777777" w:rsidR="00D16D07" w:rsidRDefault="00D16D07" w:rsidP="00311F16">
      <w:pPr>
        <w:autoSpaceDE w:val="0"/>
        <w:autoSpaceDN w:val="0"/>
        <w:adjustRightInd w:val="0"/>
        <w:spacing w:after="0" w:line="276" w:lineRule="auto"/>
        <w:rPr>
          <w:rFonts w:ascii="Arial" w:hAnsi="Arial" w:cs="Arial"/>
          <w:b/>
          <w:color w:val="000000" w:themeColor="text1"/>
          <w:lang w:val="en-US"/>
        </w:rPr>
      </w:pPr>
    </w:p>
    <w:p w14:paraId="5502B334" w14:textId="77777777" w:rsidR="00D16D07" w:rsidRDefault="00D16D07" w:rsidP="00311F16">
      <w:pPr>
        <w:autoSpaceDE w:val="0"/>
        <w:autoSpaceDN w:val="0"/>
        <w:adjustRightInd w:val="0"/>
        <w:spacing w:after="0" w:line="276" w:lineRule="auto"/>
        <w:rPr>
          <w:rFonts w:ascii="Arial" w:hAnsi="Arial" w:cs="Arial"/>
          <w:b/>
          <w:color w:val="000000" w:themeColor="text1"/>
          <w:lang w:val="en-US"/>
        </w:rPr>
      </w:pPr>
    </w:p>
    <w:p w14:paraId="45BED054" w14:textId="1FFA00F0" w:rsidR="004A0081" w:rsidRPr="00311F16" w:rsidRDefault="000B555B" w:rsidP="00311F16">
      <w:pPr>
        <w:autoSpaceDE w:val="0"/>
        <w:autoSpaceDN w:val="0"/>
        <w:adjustRightInd w:val="0"/>
        <w:spacing w:after="0" w:line="276" w:lineRule="auto"/>
        <w:rPr>
          <w:rFonts w:ascii="Arial" w:hAnsi="Arial" w:cs="Arial"/>
          <w:b/>
          <w:color w:val="000000" w:themeColor="text1"/>
          <w:lang w:val="en-US"/>
        </w:rPr>
      </w:pPr>
      <w:r w:rsidRPr="00311F16">
        <w:rPr>
          <w:rFonts w:ascii="Arial" w:hAnsi="Arial" w:cs="Arial"/>
          <w:b/>
          <w:color w:val="000000" w:themeColor="text1"/>
          <w:lang w:val="en-US"/>
        </w:rPr>
        <w:lastRenderedPageBreak/>
        <w:t>Statistical analysi</w:t>
      </w:r>
      <w:r w:rsidR="004A0081" w:rsidRPr="00311F16">
        <w:rPr>
          <w:rFonts w:ascii="Arial" w:hAnsi="Arial" w:cs="Arial"/>
          <w:b/>
          <w:color w:val="000000" w:themeColor="text1"/>
          <w:lang w:val="en-US"/>
        </w:rPr>
        <w:t>s</w:t>
      </w:r>
    </w:p>
    <w:p w14:paraId="30EE4373" w14:textId="070F810F" w:rsidR="004A0081" w:rsidRPr="00004507" w:rsidRDefault="00427817" w:rsidP="00566A1F">
      <w:pPr>
        <w:autoSpaceDE w:val="0"/>
        <w:autoSpaceDN w:val="0"/>
        <w:adjustRightInd w:val="0"/>
        <w:spacing w:after="0" w:line="276" w:lineRule="auto"/>
        <w:jc w:val="both"/>
        <w:rPr>
          <w:rFonts w:ascii="Arial" w:hAnsi="Arial" w:cs="Arial"/>
          <w:color w:val="000000" w:themeColor="text1"/>
          <w:lang w:val="en-US"/>
        </w:rPr>
      </w:pPr>
      <w:r w:rsidRPr="00004507">
        <w:rPr>
          <w:rFonts w:ascii="Arial" w:hAnsi="Arial" w:cs="Arial"/>
          <w:color w:val="000000" w:themeColor="text1"/>
          <w:lang w:val="en-US"/>
        </w:rPr>
        <w:t>The c</w:t>
      </w:r>
      <w:r w:rsidR="00846F28" w:rsidRPr="00004507">
        <w:rPr>
          <w:rFonts w:ascii="Arial" w:hAnsi="Arial" w:cs="Arial"/>
          <w:color w:val="000000" w:themeColor="text1"/>
          <w:lang w:val="en-US"/>
        </w:rPr>
        <w:t>ontinuous variable</w:t>
      </w:r>
      <w:r w:rsidR="00907821" w:rsidRPr="00004507">
        <w:rPr>
          <w:rFonts w:ascii="Arial" w:hAnsi="Arial" w:cs="Arial"/>
          <w:color w:val="000000" w:themeColor="text1"/>
          <w:lang w:val="en-US"/>
        </w:rPr>
        <w:t>s</w:t>
      </w:r>
      <w:r w:rsidR="00CC1346" w:rsidRPr="00004507">
        <w:rPr>
          <w:rFonts w:ascii="Arial" w:hAnsi="Arial" w:cs="Arial"/>
          <w:color w:val="000000" w:themeColor="text1"/>
          <w:lang w:val="en-US"/>
        </w:rPr>
        <w:t xml:space="preserve"> and </w:t>
      </w:r>
      <w:r w:rsidR="00CE72B2" w:rsidRPr="00004507">
        <w:rPr>
          <w:rFonts w:ascii="Arial" w:hAnsi="Arial" w:cs="Arial"/>
          <w:color w:val="000000" w:themeColor="text1"/>
          <w:lang w:val="en-US"/>
        </w:rPr>
        <w:t xml:space="preserve">the </w:t>
      </w:r>
      <w:r w:rsidR="00CC1346" w:rsidRPr="00004507">
        <w:rPr>
          <w:rFonts w:ascii="Arial" w:hAnsi="Arial" w:cs="Arial"/>
          <w:color w:val="000000" w:themeColor="text1"/>
          <w:lang w:val="en-US"/>
        </w:rPr>
        <w:t>interval variable</w:t>
      </w:r>
      <w:r w:rsidRPr="00004507">
        <w:rPr>
          <w:rFonts w:ascii="Arial" w:hAnsi="Arial" w:cs="Arial"/>
          <w:color w:val="000000" w:themeColor="text1"/>
          <w:lang w:val="en-US"/>
        </w:rPr>
        <w:t xml:space="preserve">, namely </w:t>
      </w:r>
      <w:r w:rsidR="00D75079" w:rsidRPr="00004507">
        <w:rPr>
          <w:rFonts w:ascii="Arial" w:hAnsi="Arial" w:cs="Arial"/>
          <w:color w:val="000000" w:themeColor="text1"/>
          <w:lang w:val="en-US"/>
        </w:rPr>
        <w:t>VFS</w:t>
      </w:r>
      <w:r w:rsidRPr="00004507">
        <w:rPr>
          <w:rFonts w:ascii="Arial" w:hAnsi="Arial" w:cs="Arial"/>
          <w:color w:val="000000" w:themeColor="text1"/>
          <w:lang w:val="en-US"/>
        </w:rPr>
        <w:t>, are</w:t>
      </w:r>
      <w:r w:rsidR="004A0081" w:rsidRPr="00004507">
        <w:rPr>
          <w:rFonts w:ascii="Arial" w:hAnsi="Arial" w:cs="Arial"/>
          <w:color w:val="000000" w:themeColor="text1"/>
          <w:lang w:val="en-US"/>
        </w:rPr>
        <w:t xml:space="preserve"> expressed as mean </w:t>
      </w:r>
      <w:r w:rsidRPr="00004507">
        <w:rPr>
          <w:rFonts w:ascii="Arial" w:hAnsi="Arial" w:cs="Arial"/>
          <w:color w:val="000000" w:themeColor="text1"/>
          <w:lang w:val="en-US"/>
        </w:rPr>
        <w:t xml:space="preserve">values </w:t>
      </w:r>
      <w:r w:rsidR="00CE72B2" w:rsidRPr="00004507">
        <w:rPr>
          <w:rFonts w:ascii="Arial" w:hAnsi="Arial" w:cs="Arial"/>
          <w:color w:val="000000" w:themeColor="text1"/>
          <w:lang w:val="en-US"/>
        </w:rPr>
        <w:t>±</w:t>
      </w:r>
      <w:r w:rsidR="004A0081" w:rsidRPr="00004507">
        <w:rPr>
          <w:rFonts w:ascii="Arial" w:hAnsi="Arial" w:cs="Arial"/>
          <w:color w:val="000000" w:themeColor="text1"/>
          <w:lang w:val="en-US"/>
        </w:rPr>
        <w:t xml:space="preserve"> SD</w:t>
      </w:r>
      <w:r w:rsidR="004B2B58" w:rsidRPr="00004507">
        <w:rPr>
          <w:rFonts w:ascii="Arial" w:hAnsi="Arial" w:cs="Arial"/>
          <w:color w:val="000000" w:themeColor="text1"/>
          <w:lang w:val="en-US"/>
        </w:rPr>
        <w:t>,</w:t>
      </w:r>
      <w:r w:rsidR="00AF7066" w:rsidRPr="00004507">
        <w:rPr>
          <w:rFonts w:ascii="Arial" w:hAnsi="Arial" w:cs="Arial"/>
          <w:color w:val="000000" w:themeColor="text1"/>
          <w:lang w:val="en-US"/>
        </w:rPr>
        <w:t xml:space="preserve"> </w:t>
      </w:r>
      <w:r w:rsidR="00907821" w:rsidRPr="00004507">
        <w:rPr>
          <w:rFonts w:ascii="Arial" w:hAnsi="Arial" w:cs="Arial"/>
          <w:color w:val="000000" w:themeColor="text1"/>
          <w:lang w:val="en-US"/>
        </w:rPr>
        <w:t>median</w:t>
      </w:r>
      <w:r w:rsidRPr="00004507">
        <w:rPr>
          <w:rFonts w:ascii="Arial" w:hAnsi="Arial" w:cs="Arial"/>
          <w:color w:val="000000" w:themeColor="text1"/>
          <w:lang w:val="en-US"/>
        </w:rPr>
        <w:t>,</w:t>
      </w:r>
      <w:r w:rsidR="00907821" w:rsidRPr="00004507">
        <w:rPr>
          <w:rFonts w:ascii="Arial" w:hAnsi="Arial" w:cs="Arial"/>
          <w:color w:val="000000" w:themeColor="text1"/>
          <w:lang w:val="en-US"/>
        </w:rPr>
        <w:t xml:space="preserve"> </w:t>
      </w:r>
      <w:r w:rsidR="00AF7066" w:rsidRPr="00004507">
        <w:rPr>
          <w:rFonts w:ascii="Arial" w:hAnsi="Arial" w:cs="Arial"/>
          <w:color w:val="000000" w:themeColor="text1"/>
          <w:lang w:val="en-US"/>
        </w:rPr>
        <w:t xml:space="preserve">and </w:t>
      </w:r>
      <w:r w:rsidRPr="00004507">
        <w:rPr>
          <w:rFonts w:ascii="Arial" w:hAnsi="Arial" w:cs="Arial"/>
          <w:color w:val="000000" w:themeColor="text1"/>
          <w:lang w:val="en-US"/>
        </w:rPr>
        <w:t xml:space="preserve">the </w:t>
      </w:r>
      <w:r w:rsidR="00AF7066" w:rsidRPr="00004507">
        <w:rPr>
          <w:rFonts w:ascii="Arial" w:hAnsi="Arial" w:cs="Arial"/>
          <w:color w:val="000000" w:themeColor="text1"/>
          <w:lang w:val="en-US"/>
        </w:rPr>
        <w:t>first and third quartiles</w:t>
      </w:r>
      <w:r w:rsidR="004A0081" w:rsidRPr="00004507">
        <w:rPr>
          <w:rFonts w:ascii="Arial" w:hAnsi="Arial" w:cs="Arial"/>
          <w:color w:val="000000" w:themeColor="text1"/>
          <w:lang w:val="en-US"/>
        </w:rPr>
        <w:t xml:space="preserve">. </w:t>
      </w:r>
      <w:r w:rsidRPr="00004507">
        <w:rPr>
          <w:rFonts w:ascii="Arial" w:hAnsi="Arial" w:cs="Arial"/>
          <w:color w:val="000000" w:themeColor="text1"/>
          <w:lang w:val="en-US"/>
        </w:rPr>
        <w:t>The n</w:t>
      </w:r>
      <w:r w:rsidR="004A0081" w:rsidRPr="00004507">
        <w:rPr>
          <w:rFonts w:ascii="Arial" w:hAnsi="Arial" w:cs="Arial"/>
          <w:color w:val="000000" w:themeColor="text1"/>
          <w:lang w:val="en-US"/>
        </w:rPr>
        <w:t>ormality of the sample distribution</w:t>
      </w:r>
      <w:r w:rsidR="003F266F" w:rsidRPr="00004507">
        <w:rPr>
          <w:rFonts w:ascii="Arial" w:hAnsi="Arial" w:cs="Arial"/>
          <w:color w:val="000000" w:themeColor="text1"/>
          <w:lang w:val="en-US"/>
        </w:rPr>
        <w:t xml:space="preserve"> was</w:t>
      </w:r>
      <w:r w:rsidR="00487C48" w:rsidRPr="00004507">
        <w:rPr>
          <w:rFonts w:ascii="Arial" w:hAnsi="Arial" w:cs="Arial"/>
          <w:color w:val="000000" w:themeColor="text1"/>
          <w:lang w:val="en-US"/>
        </w:rPr>
        <w:t xml:space="preserve"> </w:t>
      </w:r>
      <w:r w:rsidR="00487C48" w:rsidRPr="003824C3">
        <w:rPr>
          <w:rFonts w:ascii="Arial" w:hAnsi="Arial" w:cs="Arial"/>
          <w:color w:val="000000" w:themeColor="text1"/>
          <w:lang w:val="en-US"/>
        </w:rPr>
        <w:t xml:space="preserve">investigated </w:t>
      </w:r>
      <w:r w:rsidR="004A0081" w:rsidRPr="003824C3">
        <w:rPr>
          <w:rFonts w:ascii="Arial" w:hAnsi="Arial" w:cs="Arial"/>
          <w:color w:val="000000" w:themeColor="text1"/>
          <w:lang w:val="en-US"/>
        </w:rPr>
        <w:t>with the Kolmogorov–Smirnov test</w:t>
      </w:r>
      <w:r w:rsidR="00545213" w:rsidRPr="003824C3">
        <w:rPr>
          <w:rFonts w:ascii="Arial" w:hAnsi="Arial" w:cs="Arial"/>
          <w:color w:val="000000" w:themeColor="text1"/>
          <w:lang w:val="en-US"/>
        </w:rPr>
        <w:t xml:space="preserve">, finding </w:t>
      </w:r>
      <w:r w:rsidR="00907821" w:rsidRPr="003824C3">
        <w:rPr>
          <w:rFonts w:ascii="Arial" w:hAnsi="Arial" w:cs="Arial"/>
          <w:color w:val="000000" w:themeColor="text1"/>
          <w:lang w:val="en-US"/>
        </w:rPr>
        <w:t xml:space="preserve">that none of </w:t>
      </w:r>
      <w:r w:rsidR="00487C48" w:rsidRPr="003824C3">
        <w:rPr>
          <w:rFonts w:ascii="Arial" w:hAnsi="Arial" w:cs="Arial"/>
          <w:color w:val="000000" w:themeColor="text1"/>
          <w:lang w:val="en-US"/>
        </w:rPr>
        <w:t xml:space="preserve">the samples </w:t>
      </w:r>
      <w:r w:rsidR="00846F28" w:rsidRPr="003824C3">
        <w:rPr>
          <w:rFonts w:ascii="Arial" w:hAnsi="Arial" w:cs="Arial"/>
          <w:color w:val="000000" w:themeColor="text1"/>
          <w:lang w:val="en-US"/>
        </w:rPr>
        <w:t>follow</w:t>
      </w:r>
      <w:r w:rsidR="00907821" w:rsidRPr="003824C3">
        <w:rPr>
          <w:rFonts w:ascii="Arial" w:hAnsi="Arial" w:cs="Arial"/>
          <w:color w:val="000000" w:themeColor="text1"/>
          <w:lang w:val="en-US"/>
        </w:rPr>
        <w:t>ed a</w:t>
      </w:r>
      <w:r w:rsidR="00846F28" w:rsidRPr="003824C3">
        <w:rPr>
          <w:rFonts w:ascii="Arial" w:hAnsi="Arial" w:cs="Arial"/>
          <w:color w:val="000000" w:themeColor="text1"/>
          <w:lang w:val="en-US"/>
        </w:rPr>
        <w:t xml:space="preserve"> normal distribution</w:t>
      </w:r>
      <w:r w:rsidR="004A0081" w:rsidRPr="003824C3">
        <w:rPr>
          <w:rFonts w:ascii="Arial" w:hAnsi="Arial" w:cs="Arial"/>
          <w:color w:val="000000" w:themeColor="text1"/>
          <w:lang w:val="en-US"/>
        </w:rPr>
        <w:t>.</w:t>
      </w:r>
      <w:r w:rsidR="00846F28" w:rsidRPr="003824C3">
        <w:rPr>
          <w:rFonts w:ascii="Arial" w:hAnsi="Arial" w:cs="Arial"/>
          <w:color w:val="000000" w:themeColor="text1"/>
          <w:lang w:val="en-US"/>
        </w:rPr>
        <w:t xml:space="preserve"> Therefore, difference</w:t>
      </w:r>
      <w:r w:rsidR="00CC3EC8" w:rsidRPr="003824C3">
        <w:rPr>
          <w:rFonts w:ascii="Arial" w:hAnsi="Arial" w:cs="Arial"/>
          <w:color w:val="000000" w:themeColor="text1"/>
          <w:lang w:val="en-US"/>
        </w:rPr>
        <w:t>s between</w:t>
      </w:r>
      <w:r w:rsidR="00846F28" w:rsidRPr="003824C3">
        <w:rPr>
          <w:rFonts w:ascii="Arial" w:hAnsi="Arial" w:cs="Arial"/>
          <w:color w:val="000000" w:themeColor="text1"/>
          <w:lang w:val="en-US"/>
        </w:rPr>
        <w:t xml:space="preserve"> the three groups were determined </w:t>
      </w:r>
      <w:r w:rsidR="004A0081" w:rsidRPr="003824C3">
        <w:rPr>
          <w:rFonts w:ascii="Arial" w:hAnsi="Arial" w:cs="Arial"/>
          <w:color w:val="000000" w:themeColor="text1"/>
          <w:lang w:val="en-US"/>
        </w:rPr>
        <w:t xml:space="preserve">by the </w:t>
      </w:r>
      <w:proofErr w:type="spellStart"/>
      <w:r w:rsidR="00907821" w:rsidRPr="003824C3">
        <w:rPr>
          <w:rFonts w:ascii="Arial" w:hAnsi="Arial" w:cs="Arial"/>
          <w:color w:val="000000" w:themeColor="text1"/>
          <w:lang w:val="en-US"/>
        </w:rPr>
        <w:t>Kruskal</w:t>
      </w:r>
      <w:proofErr w:type="spellEnd"/>
      <w:r w:rsidR="00907821" w:rsidRPr="003824C3">
        <w:rPr>
          <w:rFonts w:ascii="Arial" w:hAnsi="Arial" w:cs="Arial"/>
          <w:color w:val="000000" w:themeColor="text1"/>
          <w:lang w:val="en-US"/>
        </w:rPr>
        <w:t>-Wallis test</w:t>
      </w:r>
      <w:r w:rsidR="00CC3EC8" w:rsidRPr="003824C3">
        <w:rPr>
          <w:rFonts w:ascii="Arial" w:hAnsi="Arial" w:cs="Arial"/>
          <w:color w:val="000000" w:themeColor="text1"/>
          <w:lang w:val="en-US"/>
        </w:rPr>
        <w:t>,</w:t>
      </w:r>
      <w:r w:rsidR="00907821" w:rsidRPr="003824C3">
        <w:rPr>
          <w:rFonts w:ascii="Arial" w:hAnsi="Arial" w:cs="Arial"/>
          <w:color w:val="000000" w:themeColor="text1"/>
          <w:lang w:val="en-US"/>
        </w:rPr>
        <w:t xml:space="preserve"> and Conover’s formula</w:t>
      </w:r>
      <w:r w:rsidR="007674E2" w:rsidRPr="003824C3">
        <w:rPr>
          <w:rFonts w:ascii="Arial" w:hAnsi="Arial" w:cs="Arial"/>
          <w:color w:val="000000" w:themeColor="text1"/>
          <w:lang w:val="en-US"/>
        </w:rPr>
        <w:t xml:space="preserve"> [36</w:t>
      </w:r>
      <w:r w:rsidR="00F601DA" w:rsidRPr="003824C3">
        <w:rPr>
          <w:rFonts w:ascii="Arial" w:hAnsi="Arial" w:cs="Arial"/>
          <w:color w:val="000000" w:themeColor="text1"/>
          <w:lang w:val="en-US"/>
        </w:rPr>
        <w:t>]</w:t>
      </w:r>
      <w:r w:rsidR="00F449FF">
        <w:rPr>
          <w:rFonts w:ascii="Arial" w:hAnsi="Arial" w:cs="Arial"/>
          <w:color w:val="000000" w:themeColor="text1"/>
          <w:lang w:val="en-US"/>
        </w:rPr>
        <w:t xml:space="preserve"> was used as a post-hoc test to demonstrate which of the two groups differed </w:t>
      </w:r>
      <w:proofErr w:type="spellStart"/>
      <w:r w:rsidR="00F449FF">
        <w:rPr>
          <w:rFonts w:ascii="Arial" w:hAnsi="Arial" w:cs="Arial"/>
          <w:color w:val="000000" w:themeColor="text1"/>
          <w:lang w:val="en-US"/>
        </w:rPr>
        <w:t>significantly</w:t>
      </w:r>
      <w:r w:rsidR="00873845">
        <w:rPr>
          <w:rFonts w:ascii="Arial" w:hAnsi="Arial" w:cs="Arial"/>
          <w:color w:val="000000" w:themeColor="text1"/>
          <w:lang w:val="en-US"/>
        </w:rPr>
        <w:t>.</w:t>
      </w:r>
      <w:r w:rsidR="006B6E2F">
        <w:rPr>
          <w:rFonts w:ascii="Arial" w:hAnsi="Arial" w:cs="Arial"/>
          <w:color w:val="000000" w:themeColor="text1"/>
          <w:lang w:val="en-US"/>
        </w:rPr>
        <w:t>W</w:t>
      </w:r>
      <w:r w:rsidR="00F449FF">
        <w:rPr>
          <w:rFonts w:ascii="Arial" w:hAnsi="Arial" w:cs="Arial"/>
          <w:color w:val="000000" w:themeColor="text1"/>
          <w:lang w:val="en-US"/>
        </w:rPr>
        <w:t>hen</w:t>
      </w:r>
      <w:proofErr w:type="spellEnd"/>
      <w:r w:rsidR="00F449FF">
        <w:rPr>
          <w:rFonts w:ascii="Arial" w:hAnsi="Arial" w:cs="Arial"/>
          <w:color w:val="000000" w:themeColor="text1"/>
          <w:lang w:val="en-US"/>
        </w:rPr>
        <w:t xml:space="preserve"> there are two groups (such as the genotypes in Tables 5, 6, and 7), they were compared </w:t>
      </w:r>
      <w:r w:rsidR="002D1A55" w:rsidRPr="003824C3">
        <w:rPr>
          <w:rFonts w:ascii="Arial" w:hAnsi="Arial" w:cs="Arial"/>
          <w:color w:val="000000" w:themeColor="text1"/>
          <w:lang w:val="en-US"/>
        </w:rPr>
        <w:t>using the Mann</w:t>
      </w:r>
      <w:r w:rsidR="00BB41F0" w:rsidRPr="003824C3">
        <w:rPr>
          <w:rFonts w:ascii="Arial" w:hAnsi="Arial" w:cs="Arial"/>
          <w:color w:val="000000" w:themeColor="text1"/>
          <w:lang w:val="en-US"/>
        </w:rPr>
        <w:t>–</w:t>
      </w:r>
      <w:r w:rsidR="002D1A55" w:rsidRPr="003824C3">
        <w:rPr>
          <w:rFonts w:ascii="Arial" w:hAnsi="Arial" w:cs="Arial"/>
          <w:color w:val="000000" w:themeColor="text1"/>
          <w:lang w:val="en-US"/>
        </w:rPr>
        <w:t>Whitney U test.</w:t>
      </w:r>
      <w:r w:rsidR="00BB41F0" w:rsidRPr="003824C3">
        <w:rPr>
          <w:rFonts w:ascii="Arial" w:hAnsi="Arial" w:cs="Arial"/>
          <w:color w:val="000000" w:themeColor="text1"/>
          <w:lang w:val="en-US"/>
        </w:rPr>
        <w:t xml:space="preserve"> The categorical variables a</w:t>
      </w:r>
      <w:r w:rsidR="004A0081" w:rsidRPr="003824C3">
        <w:rPr>
          <w:rFonts w:ascii="Arial" w:hAnsi="Arial" w:cs="Arial"/>
          <w:color w:val="000000" w:themeColor="text1"/>
          <w:lang w:val="en-US"/>
        </w:rPr>
        <w:t xml:space="preserve">re expressed as </w:t>
      </w:r>
      <w:r w:rsidR="00D21AB4" w:rsidRPr="003824C3">
        <w:rPr>
          <w:rFonts w:ascii="Arial" w:hAnsi="Arial" w:cs="Arial"/>
          <w:color w:val="000000" w:themeColor="text1"/>
          <w:lang w:val="en-US"/>
        </w:rPr>
        <w:t>frequencies and</w:t>
      </w:r>
      <w:r w:rsidR="000C36B5" w:rsidRPr="003824C3">
        <w:rPr>
          <w:rFonts w:ascii="Arial" w:hAnsi="Arial" w:cs="Arial"/>
          <w:color w:val="000000" w:themeColor="text1"/>
          <w:lang w:val="en-US"/>
        </w:rPr>
        <w:t xml:space="preserve"> percentages </w:t>
      </w:r>
      <w:r w:rsidR="004A0081" w:rsidRPr="003824C3">
        <w:rPr>
          <w:rFonts w:ascii="Arial" w:hAnsi="Arial" w:cs="Arial"/>
          <w:color w:val="000000" w:themeColor="text1"/>
          <w:lang w:val="en-US"/>
        </w:rPr>
        <w:t xml:space="preserve">and </w:t>
      </w:r>
      <w:r w:rsidR="00BB41F0" w:rsidRPr="003824C3">
        <w:rPr>
          <w:rFonts w:ascii="Arial" w:hAnsi="Arial" w:cs="Arial"/>
          <w:color w:val="000000" w:themeColor="text1"/>
          <w:lang w:val="en-US"/>
        </w:rPr>
        <w:t xml:space="preserve">they were </w:t>
      </w:r>
      <w:r w:rsidR="004A0081" w:rsidRPr="003824C3">
        <w:rPr>
          <w:rFonts w:ascii="Arial" w:hAnsi="Arial" w:cs="Arial"/>
          <w:color w:val="000000" w:themeColor="text1"/>
          <w:lang w:val="en-US"/>
        </w:rPr>
        <w:t>compared using</w:t>
      </w:r>
      <w:r w:rsidR="00145260" w:rsidRPr="003824C3">
        <w:rPr>
          <w:rFonts w:ascii="Arial" w:hAnsi="Arial" w:cs="Arial"/>
          <w:color w:val="000000" w:themeColor="text1"/>
          <w:lang w:val="en-US"/>
        </w:rPr>
        <w:t xml:space="preserve"> the chi-square</w:t>
      </w:r>
      <w:r w:rsidR="00BB41F0" w:rsidRPr="003824C3">
        <w:rPr>
          <w:rFonts w:ascii="Arial" w:hAnsi="Arial" w:cs="Arial"/>
          <w:color w:val="000000" w:themeColor="text1"/>
          <w:lang w:val="en-US"/>
        </w:rPr>
        <w:t>d</w:t>
      </w:r>
      <w:r w:rsidR="00145260" w:rsidRPr="003824C3">
        <w:rPr>
          <w:rFonts w:ascii="Arial" w:hAnsi="Arial" w:cs="Arial"/>
          <w:color w:val="000000" w:themeColor="text1"/>
          <w:lang w:val="en-US"/>
        </w:rPr>
        <w:t xml:space="preserve"> test</w:t>
      </w:r>
      <w:r w:rsidR="004A0081" w:rsidRPr="003824C3">
        <w:rPr>
          <w:rFonts w:ascii="Arial" w:hAnsi="Arial" w:cs="Arial"/>
          <w:color w:val="000000" w:themeColor="text1"/>
          <w:lang w:val="en-US"/>
        </w:rPr>
        <w:t xml:space="preserve"> </w:t>
      </w:r>
      <w:r w:rsidR="00BB41F0" w:rsidRPr="003824C3">
        <w:rPr>
          <w:rFonts w:ascii="Arial" w:hAnsi="Arial" w:cs="Arial"/>
          <w:color w:val="000000" w:themeColor="text1"/>
          <w:lang w:val="en-US"/>
        </w:rPr>
        <w:t xml:space="preserve">or </w:t>
      </w:r>
      <w:r w:rsidR="00145260" w:rsidRPr="003824C3">
        <w:rPr>
          <w:rFonts w:ascii="Arial" w:hAnsi="Arial" w:cs="Arial"/>
          <w:color w:val="000000" w:themeColor="text1"/>
          <w:lang w:val="en-US"/>
        </w:rPr>
        <w:t>Fisher</w:t>
      </w:r>
      <w:r w:rsidR="00BB41F0" w:rsidRPr="003824C3">
        <w:rPr>
          <w:rFonts w:ascii="Arial" w:hAnsi="Arial" w:cs="Arial"/>
          <w:color w:val="000000" w:themeColor="text1"/>
          <w:lang w:val="en-US"/>
        </w:rPr>
        <w:t>’s</w:t>
      </w:r>
      <w:r w:rsidR="00145260" w:rsidRPr="003824C3">
        <w:rPr>
          <w:rFonts w:ascii="Arial" w:hAnsi="Arial" w:cs="Arial"/>
          <w:color w:val="000000" w:themeColor="text1"/>
          <w:lang w:val="en-US"/>
        </w:rPr>
        <w:t xml:space="preserve"> exact test</w:t>
      </w:r>
      <w:r w:rsidR="004A0081" w:rsidRPr="003824C3">
        <w:rPr>
          <w:rFonts w:ascii="Arial" w:hAnsi="Arial" w:cs="Arial"/>
          <w:color w:val="000000" w:themeColor="text1"/>
          <w:lang w:val="en-US"/>
        </w:rPr>
        <w:t xml:space="preserve">. </w:t>
      </w:r>
      <w:r w:rsidR="00C246BA" w:rsidRPr="003824C3">
        <w:rPr>
          <w:rFonts w:ascii="Arial" w:hAnsi="Arial" w:cs="Arial"/>
          <w:lang w:val="en-US"/>
        </w:rPr>
        <w:t xml:space="preserve">The </w:t>
      </w:r>
      <w:proofErr w:type="spellStart"/>
      <w:r w:rsidR="00C246BA" w:rsidRPr="003824C3">
        <w:rPr>
          <w:rFonts w:ascii="Arial" w:hAnsi="Arial" w:cs="Arial"/>
          <w:lang w:val="en-US"/>
        </w:rPr>
        <w:t>Bonferroni</w:t>
      </w:r>
      <w:proofErr w:type="spellEnd"/>
      <w:r w:rsidR="003824C3" w:rsidRPr="003824C3">
        <w:rPr>
          <w:rFonts w:ascii="Arial" w:hAnsi="Arial" w:cs="Arial"/>
          <w:lang w:val="en-US"/>
        </w:rPr>
        <w:t xml:space="preserve"> </w:t>
      </w:r>
      <w:r w:rsidR="00C246BA" w:rsidRPr="003824C3">
        <w:rPr>
          <w:rFonts w:ascii="Arial" w:hAnsi="Arial" w:cs="Arial"/>
          <w:lang w:val="en-US"/>
        </w:rPr>
        <w:t xml:space="preserve">correction was used to </w:t>
      </w:r>
      <w:r w:rsidR="003824C3" w:rsidRPr="003824C3">
        <w:rPr>
          <w:rFonts w:ascii="Arial" w:hAnsi="Arial" w:cs="Arial"/>
          <w:lang w:val="en-US"/>
        </w:rPr>
        <w:t xml:space="preserve">correct for the </w:t>
      </w:r>
      <w:r w:rsidR="00C246BA" w:rsidRPr="003824C3">
        <w:rPr>
          <w:rFonts w:ascii="Arial" w:hAnsi="Arial" w:cs="Arial"/>
          <w:lang w:val="en-US"/>
        </w:rPr>
        <w:t xml:space="preserve">statistical significance level for multiple testing; for example, a </w:t>
      </w:r>
      <w:r w:rsidR="00C246BA" w:rsidRPr="003824C3">
        <w:rPr>
          <w:rFonts w:ascii="Arial" w:hAnsi="Arial" w:cs="Arial"/>
          <w:i/>
          <w:iCs/>
          <w:lang w:val="en-US"/>
        </w:rPr>
        <w:t xml:space="preserve">P </w:t>
      </w:r>
      <w:r w:rsidR="00C246BA" w:rsidRPr="003824C3">
        <w:rPr>
          <w:rFonts w:ascii="Arial" w:hAnsi="Arial" w:cs="Arial"/>
          <w:lang w:val="en-US"/>
        </w:rPr>
        <w:t xml:space="preserve">value of 0.05 </w:t>
      </w:r>
      <w:r w:rsidR="003824C3" w:rsidRPr="003824C3">
        <w:rPr>
          <w:rFonts w:ascii="Arial" w:hAnsi="Arial" w:cs="Arial"/>
          <w:lang w:val="en-US"/>
        </w:rPr>
        <w:t>was reduced</w:t>
      </w:r>
      <w:r w:rsidR="00C246BA" w:rsidRPr="003824C3">
        <w:rPr>
          <w:rFonts w:ascii="Arial" w:hAnsi="Arial" w:cs="Arial"/>
          <w:lang w:val="en-US"/>
        </w:rPr>
        <w:t xml:space="preserve"> to </w:t>
      </w:r>
      <w:r w:rsidR="003824C3" w:rsidRPr="003824C3">
        <w:rPr>
          <w:rFonts w:ascii="Arial" w:hAnsi="Arial" w:cs="Arial"/>
          <w:lang w:val="en-US"/>
        </w:rPr>
        <w:t>0.0083</w:t>
      </w:r>
      <w:r w:rsidR="002C5A28">
        <w:rPr>
          <w:rFonts w:ascii="Arial" w:hAnsi="Arial" w:cs="Arial"/>
          <w:lang w:val="en-US"/>
        </w:rPr>
        <w:t xml:space="preserve"> when 6 comparisons were employed (</w:t>
      </w:r>
      <w:r w:rsidR="002C5A28" w:rsidRPr="003824C3">
        <w:rPr>
          <w:rFonts w:ascii="Arial" w:hAnsi="Arial" w:cs="Arial"/>
          <w:lang w:val="en-US"/>
        </w:rPr>
        <w:t>0.05</w:t>
      </w:r>
      <w:r w:rsidR="002C5A28">
        <w:rPr>
          <w:rFonts w:ascii="Arial" w:hAnsi="Arial" w:cs="Arial"/>
          <w:lang w:val="en-US"/>
        </w:rPr>
        <w:t xml:space="preserve"> </w:t>
      </w:r>
      <w:r w:rsidR="002C5A28" w:rsidRPr="003824C3">
        <w:rPr>
          <w:rFonts w:ascii="Arial" w:hAnsi="Arial" w:cs="Arial"/>
          <w:lang w:val="en-US"/>
        </w:rPr>
        <w:t>/</w:t>
      </w:r>
      <w:r w:rsidR="002C5A28">
        <w:rPr>
          <w:rFonts w:ascii="Arial" w:hAnsi="Arial" w:cs="Arial"/>
          <w:lang w:val="en-US"/>
        </w:rPr>
        <w:t xml:space="preserve"> </w:t>
      </w:r>
      <w:r w:rsidR="002C5A28" w:rsidRPr="003824C3">
        <w:rPr>
          <w:rFonts w:ascii="Arial" w:hAnsi="Arial" w:cs="Arial"/>
          <w:lang w:val="en-US"/>
        </w:rPr>
        <w:t>6</w:t>
      </w:r>
      <w:r w:rsidR="002C5A28">
        <w:rPr>
          <w:rFonts w:ascii="Arial" w:hAnsi="Arial" w:cs="Arial"/>
          <w:lang w:val="en-US"/>
        </w:rPr>
        <w:t>)</w:t>
      </w:r>
      <w:r w:rsidR="00C246BA" w:rsidRPr="003824C3">
        <w:rPr>
          <w:rFonts w:ascii="Arial" w:hAnsi="Arial" w:cs="Arial"/>
          <w:lang w:val="en-US"/>
        </w:rPr>
        <w:t>.</w:t>
      </w:r>
      <w:r w:rsidR="00C246BA" w:rsidRPr="003824C3">
        <w:rPr>
          <w:rFonts w:ascii="Arial" w:hAnsi="Arial" w:cs="Arial"/>
          <w:color w:val="000000" w:themeColor="text1"/>
          <w:lang w:val="en-US"/>
        </w:rPr>
        <w:t xml:space="preserve"> </w:t>
      </w:r>
      <w:r w:rsidR="00BB41F0" w:rsidRPr="003824C3">
        <w:rPr>
          <w:rFonts w:ascii="Arial" w:hAnsi="Arial" w:cs="Arial"/>
          <w:color w:val="000000" w:themeColor="text1"/>
          <w:lang w:val="en-US"/>
        </w:rPr>
        <w:t xml:space="preserve">The </w:t>
      </w:r>
      <w:r w:rsidR="00A50F3F" w:rsidRPr="003824C3">
        <w:rPr>
          <w:rFonts w:ascii="Arial" w:hAnsi="Arial" w:cs="Arial"/>
          <w:color w:val="000000" w:themeColor="text1"/>
          <w:lang w:val="en-US"/>
        </w:rPr>
        <w:t>strength</w:t>
      </w:r>
      <w:r w:rsidR="006761AD" w:rsidRPr="003824C3">
        <w:rPr>
          <w:rFonts w:ascii="Arial" w:hAnsi="Arial" w:cs="Arial"/>
          <w:color w:val="000000" w:themeColor="text1"/>
          <w:lang w:val="en-US"/>
        </w:rPr>
        <w:t xml:space="preserve"> of the association of </w:t>
      </w:r>
      <w:r w:rsidR="00BB41F0" w:rsidRPr="003824C3">
        <w:rPr>
          <w:rFonts w:ascii="Arial" w:hAnsi="Arial" w:cs="Arial"/>
          <w:color w:val="000000" w:themeColor="text1"/>
          <w:lang w:val="en-US"/>
        </w:rPr>
        <w:t xml:space="preserve">the </w:t>
      </w:r>
      <w:r w:rsidR="006761AD" w:rsidRPr="003824C3">
        <w:rPr>
          <w:rFonts w:ascii="Arial" w:hAnsi="Arial" w:cs="Arial"/>
          <w:color w:val="000000" w:themeColor="text1"/>
          <w:lang w:val="en-US"/>
        </w:rPr>
        <w:t>ge</w:t>
      </w:r>
      <w:r w:rsidR="00D57994" w:rsidRPr="003824C3">
        <w:rPr>
          <w:rFonts w:ascii="Arial" w:hAnsi="Arial" w:cs="Arial"/>
          <w:color w:val="000000" w:themeColor="text1"/>
          <w:lang w:val="en-US"/>
        </w:rPr>
        <w:t xml:space="preserve">notypes and alleles with PEX </w:t>
      </w:r>
      <w:r w:rsidR="006761AD" w:rsidRPr="003824C3">
        <w:rPr>
          <w:rFonts w:ascii="Arial" w:hAnsi="Arial" w:cs="Arial"/>
          <w:color w:val="000000" w:themeColor="text1"/>
          <w:lang w:val="en-US"/>
        </w:rPr>
        <w:t>or PEG wa</w:t>
      </w:r>
      <w:r w:rsidR="00BB41F0" w:rsidRPr="003824C3">
        <w:rPr>
          <w:rFonts w:ascii="Arial" w:hAnsi="Arial" w:cs="Arial"/>
          <w:color w:val="000000" w:themeColor="text1"/>
          <w:lang w:val="en-US"/>
        </w:rPr>
        <w:t>s estimated by calculating the odds r</w:t>
      </w:r>
      <w:r w:rsidR="006761AD" w:rsidRPr="003824C3">
        <w:rPr>
          <w:rFonts w:ascii="Arial" w:hAnsi="Arial" w:cs="Arial"/>
          <w:color w:val="000000" w:themeColor="text1"/>
          <w:lang w:val="en-US"/>
        </w:rPr>
        <w:t xml:space="preserve">atio (OR) values. </w:t>
      </w:r>
      <w:r w:rsidR="009110AB" w:rsidRPr="003824C3">
        <w:rPr>
          <w:rFonts w:ascii="Arial" w:hAnsi="Arial" w:cs="Arial"/>
          <w:color w:val="000000" w:themeColor="text1"/>
          <w:lang w:val="en-US"/>
        </w:rPr>
        <w:t>Two-tailed probability values with 95% confidence intervals (CIs) were es</w:t>
      </w:r>
      <w:r w:rsidR="00D57994" w:rsidRPr="003824C3">
        <w:rPr>
          <w:rFonts w:ascii="Arial" w:hAnsi="Arial" w:cs="Arial"/>
          <w:color w:val="000000" w:themeColor="text1"/>
          <w:lang w:val="en-US"/>
        </w:rPr>
        <w:t>timated for each OR</w:t>
      </w:r>
      <w:r w:rsidR="009110AB" w:rsidRPr="003824C3">
        <w:rPr>
          <w:rFonts w:ascii="Arial" w:hAnsi="Arial" w:cs="Arial"/>
          <w:color w:val="000000" w:themeColor="text1"/>
          <w:lang w:val="en-US"/>
        </w:rPr>
        <w:t xml:space="preserve">. </w:t>
      </w:r>
      <w:r w:rsidR="004A0081" w:rsidRPr="003824C3">
        <w:rPr>
          <w:rFonts w:ascii="Arial" w:hAnsi="Arial" w:cs="Arial"/>
          <w:color w:val="000000" w:themeColor="text1"/>
          <w:lang w:val="en-US"/>
        </w:rPr>
        <w:t>Lo</w:t>
      </w:r>
      <w:r w:rsidR="003F6DF7" w:rsidRPr="003824C3">
        <w:rPr>
          <w:rFonts w:ascii="Arial" w:hAnsi="Arial" w:cs="Arial"/>
          <w:color w:val="000000" w:themeColor="text1"/>
          <w:lang w:val="en-US"/>
        </w:rPr>
        <w:t xml:space="preserve">gistic regression </w:t>
      </w:r>
      <w:r w:rsidR="00DD41BB" w:rsidRPr="003824C3">
        <w:rPr>
          <w:rFonts w:ascii="Arial" w:hAnsi="Arial" w:cs="Arial"/>
          <w:color w:val="000000" w:themeColor="text1"/>
          <w:lang w:val="en-US"/>
        </w:rPr>
        <w:t>analysis</w:t>
      </w:r>
      <w:r w:rsidR="00CC511D" w:rsidRPr="003824C3">
        <w:rPr>
          <w:rFonts w:ascii="Arial" w:hAnsi="Arial" w:cs="Arial"/>
          <w:color w:val="000000" w:themeColor="text1"/>
          <w:lang w:val="en-US"/>
        </w:rPr>
        <w:t xml:space="preserve"> with</w:t>
      </w:r>
      <w:r w:rsidR="00BB41F0" w:rsidRPr="003824C3">
        <w:rPr>
          <w:rFonts w:ascii="Arial" w:hAnsi="Arial" w:cs="Arial"/>
          <w:color w:val="000000" w:themeColor="text1"/>
          <w:lang w:val="en-US"/>
        </w:rPr>
        <w:t xml:space="preserve"> the</w:t>
      </w:r>
      <w:r w:rsidR="00CC511D" w:rsidRPr="003824C3">
        <w:rPr>
          <w:rFonts w:ascii="Arial" w:hAnsi="Arial" w:cs="Arial"/>
          <w:color w:val="000000" w:themeColor="text1"/>
          <w:lang w:val="en-US"/>
        </w:rPr>
        <w:t xml:space="preserve"> backward ste</w:t>
      </w:r>
      <w:r w:rsidR="00BB41F0" w:rsidRPr="003824C3">
        <w:rPr>
          <w:rFonts w:ascii="Arial" w:hAnsi="Arial" w:cs="Arial"/>
          <w:color w:val="000000" w:themeColor="text1"/>
          <w:lang w:val="en-US"/>
        </w:rPr>
        <w:t>pwise (likelihood ratio) method</w:t>
      </w:r>
      <w:r w:rsidR="00DD41BB" w:rsidRPr="003824C3">
        <w:rPr>
          <w:rFonts w:ascii="Arial" w:hAnsi="Arial" w:cs="Arial"/>
          <w:color w:val="000000" w:themeColor="text1"/>
          <w:lang w:val="en-US"/>
        </w:rPr>
        <w:t xml:space="preserve"> was used to test the ability of the study parameters to predict PEX and/or PEG </w:t>
      </w:r>
      <w:r w:rsidR="00AA7A4B" w:rsidRPr="003824C3">
        <w:rPr>
          <w:rFonts w:ascii="Arial" w:hAnsi="Arial" w:cs="Arial"/>
          <w:color w:val="000000" w:themeColor="text1"/>
          <w:lang w:val="en-US"/>
        </w:rPr>
        <w:t>status</w:t>
      </w:r>
      <w:r w:rsidR="00DD41BB" w:rsidRPr="003824C3">
        <w:rPr>
          <w:rFonts w:ascii="Arial" w:hAnsi="Arial" w:cs="Arial"/>
          <w:color w:val="000000" w:themeColor="text1"/>
          <w:lang w:val="en-US"/>
        </w:rPr>
        <w:t xml:space="preserve">. </w:t>
      </w:r>
      <w:r w:rsidR="00CC511D" w:rsidRPr="003824C3">
        <w:rPr>
          <w:rFonts w:ascii="Arial" w:hAnsi="Arial" w:cs="Arial"/>
          <w:color w:val="000000" w:themeColor="text1"/>
          <w:lang w:val="en-US"/>
        </w:rPr>
        <w:t>T</w:t>
      </w:r>
      <w:r w:rsidR="00DD41BB" w:rsidRPr="003824C3">
        <w:rPr>
          <w:rFonts w:ascii="Arial" w:hAnsi="Arial" w:cs="Arial"/>
          <w:color w:val="000000" w:themeColor="text1"/>
          <w:lang w:val="en-US"/>
        </w:rPr>
        <w:t xml:space="preserve">he </w:t>
      </w:r>
      <w:proofErr w:type="spellStart"/>
      <w:r w:rsidR="00DD41BB" w:rsidRPr="003824C3">
        <w:rPr>
          <w:rFonts w:ascii="Arial" w:hAnsi="Arial" w:cs="Arial"/>
          <w:color w:val="000000" w:themeColor="text1"/>
          <w:lang w:val="en-US"/>
        </w:rPr>
        <w:t>Hosmer</w:t>
      </w:r>
      <w:proofErr w:type="spellEnd"/>
      <w:r w:rsidR="00DD41BB" w:rsidRPr="003824C3">
        <w:rPr>
          <w:rFonts w:ascii="Arial" w:hAnsi="Arial" w:cs="Arial"/>
          <w:color w:val="000000" w:themeColor="text1"/>
          <w:lang w:val="en-US"/>
        </w:rPr>
        <w:t>–</w:t>
      </w:r>
      <w:proofErr w:type="spellStart"/>
      <w:r w:rsidR="00DD41BB" w:rsidRPr="003824C3">
        <w:rPr>
          <w:rFonts w:ascii="Arial" w:hAnsi="Arial" w:cs="Arial"/>
          <w:color w:val="000000" w:themeColor="text1"/>
          <w:lang w:val="en-US"/>
        </w:rPr>
        <w:t>Lemeshow</w:t>
      </w:r>
      <w:proofErr w:type="spellEnd"/>
      <w:r w:rsidR="00DD41BB" w:rsidRPr="003824C3">
        <w:rPr>
          <w:rFonts w:ascii="Arial" w:hAnsi="Arial" w:cs="Arial"/>
          <w:color w:val="000000" w:themeColor="text1"/>
          <w:lang w:val="en-US"/>
        </w:rPr>
        <w:t xml:space="preserve"> goodness-of-fit test was used for the calibration</w:t>
      </w:r>
      <w:r w:rsidR="005214E7" w:rsidRPr="003824C3">
        <w:rPr>
          <w:rFonts w:ascii="Arial" w:hAnsi="Arial" w:cs="Arial"/>
          <w:color w:val="000000" w:themeColor="text1"/>
          <w:lang w:val="en-US"/>
        </w:rPr>
        <w:t xml:space="preserve"> of</w:t>
      </w:r>
      <w:r w:rsidR="00BB41F0" w:rsidRPr="003824C3">
        <w:rPr>
          <w:rFonts w:ascii="Arial" w:hAnsi="Arial" w:cs="Arial"/>
          <w:color w:val="000000" w:themeColor="text1"/>
          <w:lang w:val="en-US"/>
        </w:rPr>
        <w:t xml:space="preserve"> the</w:t>
      </w:r>
      <w:r w:rsidR="005214E7" w:rsidRPr="003824C3">
        <w:rPr>
          <w:rFonts w:ascii="Arial" w:hAnsi="Arial" w:cs="Arial"/>
          <w:color w:val="000000" w:themeColor="text1"/>
          <w:lang w:val="en-US"/>
        </w:rPr>
        <w:t xml:space="preserve"> logistic regression</w:t>
      </w:r>
      <w:r w:rsidR="00114B95" w:rsidRPr="003824C3">
        <w:rPr>
          <w:rFonts w:ascii="Arial" w:hAnsi="Arial" w:cs="Arial"/>
          <w:color w:val="000000" w:themeColor="text1"/>
          <w:lang w:val="en-US"/>
        </w:rPr>
        <w:t xml:space="preserve">. </w:t>
      </w:r>
      <w:r w:rsidR="00BB41F0" w:rsidRPr="003824C3">
        <w:rPr>
          <w:rFonts w:ascii="Arial" w:hAnsi="Arial" w:cs="Arial"/>
          <w:color w:val="000000" w:themeColor="text1"/>
          <w:lang w:val="en-US"/>
        </w:rPr>
        <w:t>SPSS</w:t>
      </w:r>
      <w:r w:rsidR="004A0081" w:rsidRPr="003824C3">
        <w:rPr>
          <w:rFonts w:ascii="Arial" w:hAnsi="Arial" w:cs="Arial"/>
          <w:color w:val="000000" w:themeColor="text1"/>
          <w:lang w:val="en-US"/>
        </w:rPr>
        <w:t xml:space="preserve"> version 16.0 (Chicago, Illinois, USA) was used fo</w:t>
      </w:r>
      <w:r w:rsidR="00BB41F0" w:rsidRPr="003824C3">
        <w:rPr>
          <w:rFonts w:ascii="Arial" w:hAnsi="Arial" w:cs="Arial"/>
          <w:color w:val="000000" w:themeColor="text1"/>
          <w:lang w:val="en-US"/>
        </w:rPr>
        <w:t xml:space="preserve">r these statistical analyses. </w:t>
      </w:r>
      <w:r w:rsidR="004A0081" w:rsidRPr="003824C3">
        <w:rPr>
          <w:rFonts w:ascii="Arial" w:hAnsi="Arial" w:cs="Arial"/>
          <w:color w:val="000000" w:themeColor="text1"/>
          <w:lang w:val="en-US"/>
        </w:rPr>
        <w:t>P value</w:t>
      </w:r>
      <w:r w:rsidR="00BB41F0" w:rsidRPr="003824C3">
        <w:rPr>
          <w:rFonts w:ascii="Arial" w:hAnsi="Arial" w:cs="Arial"/>
          <w:color w:val="000000" w:themeColor="text1"/>
          <w:lang w:val="en-US"/>
        </w:rPr>
        <w:t>s</w:t>
      </w:r>
      <w:r w:rsidR="004A0081" w:rsidRPr="003824C3">
        <w:rPr>
          <w:rFonts w:ascii="Arial" w:hAnsi="Arial" w:cs="Arial"/>
          <w:color w:val="000000" w:themeColor="text1"/>
          <w:lang w:val="en-US"/>
        </w:rPr>
        <w:t xml:space="preserve"> of &lt;</w:t>
      </w:r>
      <w:r w:rsidR="00BB41F0" w:rsidRPr="003824C3">
        <w:rPr>
          <w:rFonts w:ascii="Arial" w:hAnsi="Arial" w:cs="Arial"/>
          <w:color w:val="000000" w:themeColor="text1"/>
          <w:lang w:val="en-US"/>
        </w:rPr>
        <w:t xml:space="preserve"> </w:t>
      </w:r>
      <w:r w:rsidR="004A0081" w:rsidRPr="003824C3">
        <w:rPr>
          <w:rFonts w:ascii="Arial" w:hAnsi="Arial" w:cs="Arial"/>
          <w:color w:val="000000" w:themeColor="text1"/>
          <w:lang w:val="en-US"/>
        </w:rPr>
        <w:t>0.05 w</w:t>
      </w:r>
      <w:r w:rsidR="00BB41F0" w:rsidRPr="003824C3">
        <w:rPr>
          <w:rFonts w:ascii="Arial" w:hAnsi="Arial" w:cs="Arial"/>
          <w:color w:val="000000" w:themeColor="text1"/>
          <w:lang w:val="en-US"/>
        </w:rPr>
        <w:t xml:space="preserve">ere considered </w:t>
      </w:r>
      <w:r w:rsidR="004A0081" w:rsidRPr="003824C3">
        <w:rPr>
          <w:rFonts w:ascii="Arial" w:hAnsi="Arial" w:cs="Arial"/>
          <w:color w:val="000000" w:themeColor="text1"/>
          <w:lang w:val="en-US"/>
        </w:rPr>
        <w:t>statistically significant</w:t>
      </w:r>
      <w:r w:rsidR="003C14A5" w:rsidRPr="003824C3">
        <w:rPr>
          <w:rFonts w:ascii="Arial" w:hAnsi="Arial" w:cs="Arial"/>
          <w:color w:val="000000" w:themeColor="text1"/>
          <w:lang w:val="en-US"/>
        </w:rPr>
        <w:t xml:space="preserve">, </w:t>
      </w:r>
      <w:r w:rsidR="003C14A5" w:rsidRPr="003824C3">
        <w:rPr>
          <w:rFonts w:ascii="Arial" w:hAnsi="Arial" w:cs="Arial"/>
          <w:lang w:val="en-US"/>
        </w:rPr>
        <w:t>unless</w:t>
      </w:r>
      <w:r w:rsidR="002C5A28" w:rsidRPr="002C5A28">
        <w:rPr>
          <w:rFonts w:ascii="Arial" w:hAnsi="Arial" w:cs="Arial"/>
          <w:lang w:val="en-US"/>
        </w:rPr>
        <w:t xml:space="preserve"> </w:t>
      </w:r>
      <w:r w:rsidR="002C5A28">
        <w:rPr>
          <w:rFonts w:ascii="Arial" w:hAnsi="Arial" w:cs="Arial"/>
          <w:lang w:val="en-US"/>
        </w:rPr>
        <w:t>indicated</w:t>
      </w:r>
      <w:r w:rsidR="003C14A5" w:rsidRPr="003824C3">
        <w:rPr>
          <w:rFonts w:ascii="Arial" w:hAnsi="Arial" w:cs="Arial"/>
          <w:lang w:val="en-US"/>
        </w:rPr>
        <w:t xml:space="preserve"> otherwise</w:t>
      </w:r>
      <w:r w:rsidR="002C5A28">
        <w:rPr>
          <w:rFonts w:ascii="Arial" w:hAnsi="Arial" w:cs="Arial"/>
          <w:lang w:val="en-US"/>
        </w:rPr>
        <w:t xml:space="preserve">. </w:t>
      </w:r>
      <w:r w:rsidR="00BB41F0" w:rsidRPr="003824C3">
        <w:rPr>
          <w:rFonts w:ascii="Arial" w:hAnsi="Arial" w:cs="Arial"/>
          <w:color w:val="000000" w:themeColor="text1"/>
          <w:lang w:val="en-US"/>
        </w:rPr>
        <w:t xml:space="preserve">The </w:t>
      </w:r>
      <w:r w:rsidR="00FE5BA5" w:rsidRPr="003824C3">
        <w:rPr>
          <w:rFonts w:ascii="Arial" w:hAnsi="Arial" w:cs="Arial"/>
          <w:color w:val="000000" w:themeColor="text1"/>
          <w:lang w:val="en-US" w:eastAsia="tr-TR"/>
        </w:rPr>
        <w:t>“</w:t>
      </w:r>
      <w:r w:rsidR="00FE5BA5" w:rsidRPr="003824C3">
        <w:rPr>
          <w:rFonts w:ascii="Arial" w:hAnsi="Arial" w:cs="Arial"/>
          <w:color w:val="000000" w:themeColor="text1"/>
          <w:shd w:val="clear" w:color="auto" w:fill="FFFFFF"/>
          <w:lang w:val="en-US"/>
        </w:rPr>
        <w:t>Genetic Association Study (GAS) Power Calculator</w:t>
      </w:r>
      <w:r w:rsidR="00FE5BA5" w:rsidRPr="003824C3">
        <w:rPr>
          <w:rFonts w:ascii="Arial" w:hAnsi="Arial" w:cs="Arial"/>
          <w:color w:val="000000" w:themeColor="text1"/>
          <w:lang w:val="en-US" w:eastAsia="tr-TR"/>
        </w:rPr>
        <w:t>” was used for sample size calculation</w:t>
      </w:r>
      <w:r w:rsidR="00A21E97" w:rsidRPr="003824C3">
        <w:rPr>
          <w:rFonts w:ascii="Arial" w:hAnsi="Arial" w:cs="Arial"/>
          <w:color w:val="000000" w:themeColor="text1"/>
          <w:lang w:val="en-US" w:eastAsia="tr-TR"/>
        </w:rPr>
        <w:t xml:space="preserve"> [37]</w:t>
      </w:r>
      <w:r w:rsidR="00FE5BA5" w:rsidRPr="003824C3">
        <w:rPr>
          <w:rFonts w:ascii="Arial" w:hAnsi="Arial" w:cs="Arial"/>
          <w:color w:val="000000" w:themeColor="text1"/>
          <w:lang w:val="en-US" w:eastAsia="tr-TR"/>
        </w:rPr>
        <w:t xml:space="preserve">. </w:t>
      </w:r>
      <w:r w:rsidR="004A0081" w:rsidRPr="003824C3">
        <w:rPr>
          <w:rFonts w:ascii="Arial" w:hAnsi="Arial" w:cs="Arial"/>
          <w:color w:val="000000" w:themeColor="text1"/>
          <w:lang w:val="en-US"/>
        </w:rPr>
        <w:t>A power value &gt;</w:t>
      </w:r>
      <w:r w:rsidR="00BB41F0" w:rsidRPr="003824C3">
        <w:rPr>
          <w:rFonts w:ascii="Arial" w:hAnsi="Arial" w:cs="Arial"/>
          <w:color w:val="000000" w:themeColor="text1"/>
          <w:lang w:val="en-US"/>
        </w:rPr>
        <w:t xml:space="preserve"> </w:t>
      </w:r>
      <w:r w:rsidR="004A0081" w:rsidRPr="003824C3">
        <w:rPr>
          <w:rFonts w:ascii="Arial" w:hAnsi="Arial" w:cs="Arial"/>
          <w:color w:val="000000" w:themeColor="text1"/>
          <w:lang w:val="en-US"/>
        </w:rPr>
        <w:t>50% was considered</w:t>
      </w:r>
      <w:r w:rsidR="009110AB" w:rsidRPr="003824C3">
        <w:rPr>
          <w:rFonts w:ascii="Arial" w:hAnsi="Arial" w:cs="Arial"/>
          <w:color w:val="000000" w:themeColor="text1"/>
          <w:lang w:val="en-US"/>
        </w:rPr>
        <w:t xml:space="preserve"> </w:t>
      </w:r>
      <w:r w:rsidR="004A0081" w:rsidRPr="003824C3">
        <w:rPr>
          <w:rFonts w:ascii="Arial" w:hAnsi="Arial" w:cs="Arial"/>
          <w:color w:val="000000" w:themeColor="text1"/>
          <w:lang w:val="en-US"/>
        </w:rPr>
        <w:t>adequate.</w:t>
      </w:r>
      <w:r w:rsidR="00F0292A" w:rsidRPr="003824C3">
        <w:rPr>
          <w:rFonts w:ascii="Arial" w:hAnsi="Arial" w:cs="Arial"/>
          <w:color w:val="000000" w:themeColor="text1"/>
          <w:lang w:val="en-US"/>
        </w:rPr>
        <w:t xml:space="preserve"> </w:t>
      </w:r>
      <w:r w:rsidR="00BB41F0" w:rsidRPr="003824C3">
        <w:rPr>
          <w:rFonts w:ascii="Arial" w:hAnsi="Arial" w:cs="Arial"/>
          <w:color w:val="000000" w:themeColor="text1"/>
          <w:lang w:val="en-US"/>
        </w:rPr>
        <w:t xml:space="preserve">With </w:t>
      </w:r>
      <w:r w:rsidR="00F0292A" w:rsidRPr="003824C3">
        <w:rPr>
          <w:rFonts w:ascii="Arial" w:hAnsi="Arial" w:cs="Arial"/>
          <w:color w:val="000000" w:themeColor="text1"/>
          <w:lang w:val="en-US"/>
        </w:rPr>
        <w:t xml:space="preserve">the lowest allele frequency </w:t>
      </w:r>
      <w:r w:rsidR="00BB41F0" w:rsidRPr="003824C3">
        <w:rPr>
          <w:rFonts w:ascii="Arial" w:hAnsi="Arial" w:cs="Arial"/>
          <w:color w:val="000000" w:themeColor="text1"/>
          <w:lang w:val="en-US"/>
        </w:rPr>
        <w:t xml:space="preserve">being </w:t>
      </w:r>
      <w:r w:rsidR="00F0292A" w:rsidRPr="003824C3">
        <w:rPr>
          <w:rFonts w:ascii="Arial" w:hAnsi="Arial" w:cs="Arial"/>
          <w:color w:val="000000" w:themeColor="text1"/>
          <w:lang w:val="en-US"/>
        </w:rPr>
        <w:t>0.18</w:t>
      </w:r>
      <w:r w:rsidR="003864B0" w:rsidRPr="003824C3">
        <w:rPr>
          <w:rFonts w:ascii="Arial" w:hAnsi="Arial" w:cs="Arial"/>
          <w:color w:val="000000" w:themeColor="text1"/>
          <w:lang w:val="en-US"/>
        </w:rPr>
        <w:t xml:space="preserve">, </w:t>
      </w:r>
      <w:r w:rsidR="00BB41F0" w:rsidRPr="003824C3">
        <w:rPr>
          <w:rFonts w:ascii="Arial" w:hAnsi="Arial" w:cs="Arial"/>
          <w:color w:val="000000" w:themeColor="text1"/>
          <w:lang w:val="en-US"/>
        </w:rPr>
        <w:t>disease prevalence</w:t>
      </w:r>
      <w:r w:rsidR="00F0292A" w:rsidRPr="003824C3">
        <w:rPr>
          <w:rFonts w:ascii="Arial" w:hAnsi="Arial" w:cs="Arial"/>
          <w:color w:val="000000" w:themeColor="text1"/>
          <w:lang w:val="en-US"/>
        </w:rPr>
        <w:t xml:space="preserve"> 10%,</w:t>
      </w:r>
      <w:r w:rsidR="00BB41F0" w:rsidRPr="003824C3">
        <w:rPr>
          <w:rFonts w:ascii="Arial" w:hAnsi="Arial" w:cs="Arial"/>
          <w:color w:val="000000" w:themeColor="text1"/>
          <w:lang w:val="en-US"/>
        </w:rPr>
        <w:t xml:space="preserve"> and significance level</w:t>
      </w:r>
      <w:r w:rsidR="003864B0" w:rsidRPr="003824C3">
        <w:rPr>
          <w:rFonts w:ascii="Arial" w:hAnsi="Arial" w:cs="Arial"/>
          <w:color w:val="000000" w:themeColor="text1"/>
          <w:lang w:val="en-US"/>
        </w:rPr>
        <w:t xml:space="preserve"> 0.05,</w:t>
      </w:r>
      <w:r w:rsidR="00F0292A" w:rsidRPr="003824C3">
        <w:rPr>
          <w:rFonts w:ascii="Arial" w:hAnsi="Arial" w:cs="Arial"/>
          <w:color w:val="000000" w:themeColor="text1"/>
          <w:lang w:val="en-US"/>
        </w:rPr>
        <w:t xml:space="preserve"> the calculated power </w:t>
      </w:r>
      <w:r w:rsidR="0055791B" w:rsidRPr="003824C3">
        <w:rPr>
          <w:rFonts w:ascii="Arial" w:hAnsi="Arial" w:cs="Arial"/>
          <w:color w:val="000000" w:themeColor="text1"/>
          <w:lang w:val="en-US"/>
        </w:rPr>
        <w:t>at the start of the study</w:t>
      </w:r>
      <w:r w:rsidR="0055791B" w:rsidRPr="00004507">
        <w:rPr>
          <w:rFonts w:ascii="Arial" w:hAnsi="Arial" w:cs="Arial"/>
          <w:color w:val="000000" w:themeColor="text1"/>
          <w:lang w:val="en-US"/>
        </w:rPr>
        <w:t xml:space="preserve"> </w:t>
      </w:r>
      <w:r w:rsidR="00F0292A" w:rsidRPr="00004507">
        <w:rPr>
          <w:rFonts w:ascii="Arial" w:hAnsi="Arial" w:cs="Arial"/>
          <w:color w:val="000000" w:themeColor="text1"/>
          <w:lang w:val="en-US"/>
        </w:rPr>
        <w:t>was 62%</w:t>
      </w:r>
      <w:r w:rsidR="007374C5" w:rsidRPr="00004507">
        <w:rPr>
          <w:rFonts w:ascii="Arial" w:hAnsi="Arial" w:cs="Arial"/>
          <w:color w:val="000000" w:themeColor="text1"/>
          <w:lang w:val="en-US"/>
        </w:rPr>
        <w:t xml:space="preserve"> with 150 subjects in each study group</w:t>
      </w:r>
      <w:r w:rsidR="00967DE2" w:rsidRPr="00004507">
        <w:rPr>
          <w:rFonts w:ascii="Arial" w:hAnsi="Arial" w:cs="Arial"/>
          <w:color w:val="000000" w:themeColor="text1"/>
          <w:lang w:val="en-US"/>
        </w:rPr>
        <w:t xml:space="preserve">. </w:t>
      </w:r>
      <w:r w:rsidR="00F0292A" w:rsidRPr="00004507">
        <w:rPr>
          <w:rFonts w:ascii="Arial" w:hAnsi="Arial" w:cs="Arial"/>
          <w:color w:val="000000" w:themeColor="text1"/>
          <w:lang w:val="en-US"/>
        </w:rPr>
        <w:t xml:space="preserve">The observed </w:t>
      </w:r>
      <w:r w:rsidR="00936CDE" w:rsidRPr="00004507">
        <w:rPr>
          <w:rFonts w:ascii="Arial" w:hAnsi="Arial" w:cs="Arial"/>
          <w:color w:val="000000" w:themeColor="text1"/>
          <w:lang w:val="en-US"/>
        </w:rPr>
        <w:t xml:space="preserve">lowest </w:t>
      </w:r>
      <w:r w:rsidR="00F0292A" w:rsidRPr="00004507">
        <w:rPr>
          <w:rFonts w:ascii="Arial" w:hAnsi="Arial" w:cs="Arial"/>
          <w:color w:val="000000" w:themeColor="text1"/>
          <w:lang w:val="en-US"/>
        </w:rPr>
        <w:t xml:space="preserve">power </w:t>
      </w:r>
      <w:r w:rsidR="00CD35F8" w:rsidRPr="00004507">
        <w:rPr>
          <w:rFonts w:ascii="Arial" w:hAnsi="Arial" w:cs="Arial"/>
          <w:color w:val="000000" w:themeColor="text1"/>
          <w:lang w:val="en-US"/>
        </w:rPr>
        <w:t xml:space="preserve">at the end of the study </w:t>
      </w:r>
      <w:r w:rsidR="00F0292A" w:rsidRPr="00004507">
        <w:rPr>
          <w:rFonts w:ascii="Arial" w:hAnsi="Arial" w:cs="Arial"/>
          <w:color w:val="000000" w:themeColor="text1"/>
          <w:lang w:val="en-US"/>
        </w:rPr>
        <w:t>was</w:t>
      </w:r>
      <w:r w:rsidR="00DB3B36" w:rsidRPr="00004507">
        <w:rPr>
          <w:rFonts w:ascii="Arial" w:hAnsi="Arial" w:cs="Arial"/>
          <w:color w:val="000000" w:themeColor="text1"/>
          <w:lang w:val="en-US"/>
        </w:rPr>
        <w:t xml:space="preserve"> 71%</w:t>
      </w:r>
      <w:r w:rsidR="00BB41F0" w:rsidRPr="00004507">
        <w:rPr>
          <w:rFonts w:ascii="Arial" w:hAnsi="Arial" w:cs="Arial"/>
          <w:color w:val="000000" w:themeColor="text1"/>
          <w:lang w:val="en-US"/>
        </w:rPr>
        <w:t>,</w:t>
      </w:r>
      <w:r w:rsidR="00F0292A" w:rsidRPr="00004507">
        <w:rPr>
          <w:rFonts w:ascii="Arial" w:hAnsi="Arial" w:cs="Arial"/>
          <w:color w:val="000000" w:themeColor="text1"/>
          <w:lang w:val="en-US"/>
        </w:rPr>
        <w:t xml:space="preserve"> with </w:t>
      </w:r>
      <w:r w:rsidR="00936CDE" w:rsidRPr="00004507">
        <w:rPr>
          <w:rFonts w:ascii="Arial" w:hAnsi="Arial" w:cs="Arial"/>
          <w:color w:val="000000" w:themeColor="text1"/>
          <w:lang w:val="en-US"/>
        </w:rPr>
        <w:t>0.25 as the lowest observed alle</w:t>
      </w:r>
      <w:r w:rsidR="00CD35F8" w:rsidRPr="00004507">
        <w:rPr>
          <w:rFonts w:ascii="Arial" w:hAnsi="Arial" w:cs="Arial"/>
          <w:color w:val="000000" w:themeColor="text1"/>
          <w:lang w:val="en-US"/>
        </w:rPr>
        <w:t>le</w:t>
      </w:r>
      <w:r w:rsidR="00936CDE" w:rsidRPr="00004507">
        <w:rPr>
          <w:rFonts w:ascii="Arial" w:hAnsi="Arial" w:cs="Arial"/>
          <w:color w:val="000000" w:themeColor="text1"/>
          <w:lang w:val="en-US"/>
        </w:rPr>
        <w:t xml:space="preserve"> frequency. </w:t>
      </w:r>
    </w:p>
    <w:p w14:paraId="1503B575" w14:textId="77777777" w:rsidR="00F0292A" w:rsidRPr="00004507" w:rsidRDefault="00F0292A" w:rsidP="00C15EA2">
      <w:pPr>
        <w:autoSpaceDE w:val="0"/>
        <w:autoSpaceDN w:val="0"/>
        <w:adjustRightInd w:val="0"/>
        <w:spacing w:after="0" w:line="276" w:lineRule="auto"/>
        <w:jc w:val="both"/>
        <w:rPr>
          <w:rFonts w:ascii="Arial" w:hAnsi="Arial" w:cs="Arial"/>
          <w:color w:val="000000" w:themeColor="text1"/>
          <w:lang w:val="en-US" w:eastAsia="tr-TR"/>
        </w:rPr>
      </w:pPr>
    </w:p>
    <w:p w14:paraId="26979EAE" w14:textId="77777777" w:rsidR="009B70FF" w:rsidRPr="00004507" w:rsidRDefault="009B70FF" w:rsidP="00C15EA2">
      <w:pPr>
        <w:spacing w:line="276" w:lineRule="auto"/>
        <w:contextualSpacing/>
        <w:jc w:val="both"/>
        <w:rPr>
          <w:rFonts w:ascii="Arial" w:hAnsi="Arial" w:cs="Arial"/>
          <w:b/>
          <w:color w:val="000000" w:themeColor="text1"/>
          <w:lang w:val="en-US"/>
        </w:rPr>
      </w:pPr>
    </w:p>
    <w:p w14:paraId="7947E1F7" w14:textId="75C9AC94" w:rsidR="0034076D" w:rsidRPr="00311F16" w:rsidRDefault="0034076D" w:rsidP="00311F16">
      <w:pPr>
        <w:spacing w:line="276" w:lineRule="auto"/>
        <w:jc w:val="both"/>
        <w:rPr>
          <w:rFonts w:ascii="Arial" w:hAnsi="Arial" w:cs="Arial"/>
          <w:b/>
          <w:color w:val="000000" w:themeColor="text1"/>
          <w:lang w:val="en-US"/>
        </w:rPr>
      </w:pPr>
      <w:r w:rsidRPr="00311F16">
        <w:rPr>
          <w:rFonts w:ascii="Arial" w:hAnsi="Arial" w:cs="Arial"/>
          <w:b/>
          <w:color w:val="000000" w:themeColor="text1"/>
          <w:lang w:val="en-US"/>
        </w:rPr>
        <w:t xml:space="preserve">Results </w:t>
      </w:r>
    </w:p>
    <w:p w14:paraId="441262FC" w14:textId="107F586B" w:rsidR="005A5B71" w:rsidRDefault="00B46D42" w:rsidP="00C15EA2">
      <w:pPr>
        <w:spacing w:after="240" w:line="276" w:lineRule="auto"/>
        <w:jc w:val="both"/>
        <w:rPr>
          <w:rFonts w:ascii="Arial" w:eastAsia="Calibri" w:hAnsi="Arial" w:cs="Arial"/>
          <w:color w:val="000000" w:themeColor="text1"/>
          <w:lang w:val="en-US"/>
        </w:rPr>
      </w:pPr>
      <w:r w:rsidRPr="00004507">
        <w:rPr>
          <w:rFonts w:ascii="Arial" w:hAnsi="Arial" w:cs="Arial"/>
          <w:color w:val="000000" w:themeColor="text1"/>
          <w:lang w:val="en-US"/>
        </w:rPr>
        <w:t>I</w:t>
      </w:r>
      <w:r w:rsidR="00B773EB" w:rsidRPr="00004507">
        <w:rPr>
          <w:rFonts w:ascii="Arial" w:hAnsi="Arial" w:cs="Arial"/>
          <w:color w:val="000000" w:themeColor="text1"/>
          <w:lang w:val="en-US"/>
        </w:rPr>
        <w:t xml:space="preserve">n this study we determined </w:t>
      </w:r>
      <w:r w:rsidR="00054321" w:rsidRPr="00004507">
        <w:rPr>
          <w:rFonts w:ascii="Arial" w:hAnsi="Arial" w:cs="Arial"/>
          <w:color w:val="000000" w:themeColor="text1"/>
          <w:lang w:val="en-US"/>
        </w:rPr>
        <w:t xml:space="preserve">the </w:t>
      </w:r>
      <w:r w:rsidR="00B773EB" w:rsidRPr="00004507">
        <w:rPr>
          <w:rFonts w:ascii="Arial" w:hAnsi="Arial" w:cs="Arial"/>
          <w:i/>
          <w:color w:val="000000" w:themeColor="text1"/>
          <w:lang w:val="en-US"/>
        </w:rPr>
        <w:t>PON1</w:t>
      </w:r>
      <w:r w:rsidR="009436D6" w:rsidRPr="00004507">
        <w:rPr>
          <w:rFonts w:ascii="Arial" w:hAnsi="Arial" w:cs="Arial"/>
          <w:color w:val="000000" w:themeColor="text1"/>
          <w:lang w:val="en-US"/>
        </w:rPr>
        <w:t xml:space="preserve"> </w:t>
      </w:r>
      <w:r w:rsidR="00054321" w:rsidRPr="00004507">
        <w:rPr>
          <w:rFonts w:ascii="Arial" w:hAnsi="Arial" w:cs="Arial"/>
          <w:i/>
          <w:color w:val="000000" w:themeColor="text1"/>
          <w:lang w:val="en-US"/>
        </w:rPr>
        <w:t>−</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w:t>
      </w:r>
      <w:r w:rsidRPr="00004507">
        <w:rPr>
          <w:rFonts w:ascii="Arial" w:hAnsi="Arial" w:cs="Arial"/>
          <w:i/>
          <w:color w:val="000000" w:themeColor="text1"/>
          <w:lang w:val="en-US"/>
        </w:rPr>
        <w:t>rs</w:t>
      </w:r>
      <w:r w:rsidRPr="00004507">
        <w:rPr>
          <w:rFonts w:ascii="Arial" w:hAnsi="Arial" w:cs="Arial"/>
          <w:i/>
          <w:color w:val="000000" w:themeColor="text1"/>
          <w:shd w:val="clear" w:color="auto" w:fill="FFFFFF"/>
          <w:lang w:val="en-US"/>
        </w:rPr>
        <w:t>705379</w:t>
      </w:r>
      <w:r w:rsidRPr="00004507">
        <w:rPr>
          <w:rFonts w:ascii="Arial" w:hAnsi="Arial" w:cs="Arial"/>
          <w:color w:val="000000" w:themeColor="text1"/>
          <w:lang w:val="en-US"/>
        </w:rPr>
        <w:t xml:space="preserve">), </w:t>
      </w:r>
      <w:r w:rsidRPr="00004507">
        <w:rPr>
          <w:rFonts w:ascii="Arial" w:hAnsi="Arial" w:cs="Arial"/>
          <w:i/>
          <w:color w:val="000000" w:themeColor="text1"/>
          <w:lang w:val="en-US"/>
        </w:rPr>
        <w:t>1</w:t>
      </w:r>
      <w:r w:rsidR="002409DD" w:rsidRPr="00004507">
        <w:rPr>
          <w:rFonts w:ascii="Arial" w:hAnsi="Arial" w:cs="Arial"/>
          <w:i/>
          <w:color w:val="000000" w:themeColor="text1"/>
          <w:lang w:val="en-US"/>
        </w:rPr>
        <w:t>92Q/R</w:t>
      </w:r>
      <w:r w:rsidR="002409DD" w:rsidRPr="00004507">
        <w:rPr>
          <w:rFonts w:ascii="Arial" w:hAnsi="Arial" w:cs="Arial"/>
          <w:color w:val="000000" w:themeColor="text1"/>
          <w:lang w:val="en-US"/>
        </w:rPr>
        <w:t xml:space="preserve"> (</w:t>
      </w:r>
      <w:r w:rsidR="002409DD" w:rsidRPr="00004507">
        <w:rPr>
          <w:rFonts w:ascii="Arial" w:hAnsi="Arial" w:cs="Arial"/>
          <w:i/>
          <w:color w:val="000000" w:themeColor="text1"/>
          <w:lang w:val="en-US"/>
        </w:rPr>
        <w:t>rs662</w:t>
      </w:r>
      <w:r w:rsidR="002409DD" w:rsidRPr="00004507">
        <w:rPr>
          <w:rFonts w:ascii="Arial" w:hAnsi="Arial" w:cs="Arial"/>
          <w:color w:val="000000" w:themeColor="text1"/>
          <w:lang w:val="en-US"/>
        </w:rPr>
        <w:t xml:space="preserve">) and </w:t>
      </w:r>
      <w:r w:rsidR="002409DD" w:rsidRPr="00004507">
        <w:rPr>
          <w:rFonts w:ascii="Arial" w:hAnsi="Arial" w:cs="Arial"/>
          <w:i/>
          <w:color w:val="000000" w:themeColor="text1"/>
          <w:lang w:val="en-US"/>
        </w:rPr>
        <w:t>55L/M</w:t>
      </w:r>
      <w:r w:rsidR="002409DD" w:rsidRPr="00004507">
        <w:rPr>
          <w:rFonts w:ascii="Arial" w:hAnsi="Arial" w:cs="Arial"/>
          <w:color w:val="000000" w:themeColor="text1"/>
          <w:lang w:val="en-US"/>
        </w:rPr>
        <w:t xml:space="preserve"> (</w:t>
      </w:r>
      <w:r w:rsidR="002409DD" w:rsidRPr="00004507">
        <w:rPr>
          <w:rFonts w:ascii="Arial" w:hAnsi="Arial" w:cs="Arial"/>
          <w:i/>
          <w:color w:val="000000" w:themeColor="text1"/>
          <w:lang w:val="en-US"/>
        </w:rPr>
        <w:t>rs8545</w:t>
      </w:r>
      <w:r w:rsidRPr="00004507">
        <w:rPr>
          <w:rFonts w:ascii="Arial" w:hAnsi="Arial" w:cs="Arial"/>
          <w:i/>
          <w:color w:val="000000" w:themeColor="text1"/>
          <w:lang w:val="en-US"/>
        </w:rPr>
        <w:t>60</w:t>
      </w:r>
      <w:r w:rsidRPr="00004507">
        <w:rPr>
          <w:rFonts w:ascii="Arial" w:hAnsi="Arial" w:cs="Arial"/>
          <w:color w:val="000000" w:themeColor="text1"/>
          <w:lang w:val="en-US"/>
        </w:rPr>
        <w:t xml:space="preserve">) genotypes of </w:t>
      </w:r>
      <w:r w:rsidR="00B773EB" w:rsidRPr="00004507">
        <w:rPr>
          <w:rFonts w:ascii="Arial" w:hAnsi="Arial" w:cs="Arial"/>
          <w:color w:val="000000" w:themeColor="text1"/>
          <w:lang w:val="en-US"/>
        </w:rPr>
        <w:t>PEX</w:t>
      </w:r>
      <w:r w:rsidR="00820F8E" w:rsidRPr="00004507">
        <w:rPr>
          <w:rFonts w:ascii="Arial" w:hAnsi="Arial" w:cs="Arial"/>
          <w:color w:val="000000" w:themeColor="text1"/>
          <w:lang w:val="en-US"/>
        </w:rPr>
        <w:t xml:space="preserve"> patients,</w:t>
      </w:r>
      <w:r w:rsidR="00B773EB" w:rsidRPr="00004507">
        <w:rPr>
          <w:rFonts w:ascii="Arial" w:hAnsi="Arial" w:cs="Arial"/>
          <w:color w:val="000000" w:themeColor="text1"/>
          <w:lang w:val="en-US"/>
        </w:rPr>
        <w:t xml:space="preserve"> PEG patients, </w:t>
      </w:r>
      <w:r w:rsidR="00820F8E" w:rsidRPr="00004507">
        <w:rPr>
          <w:rFonts w:ascii="Arial" w:hAnsi="Arial" w:cs="Arial"/>
          <w:color w:val="000000" w:themeColor="text1"/>
          <w:lang w:val="en-US"/>
        </w:rPr>
        <w:t xml:space="preserve">and healthy </w:t>
      </w:r>
      <w:r w:rsidR="00B773EB" w:rsidRPr="00004507">
        <w:rPr>
          <w:rFonts w:ascii="Arial" w:hAnsi="Arial" w:cs="Arial"/>
          <w:color w:val="000000" w:themeColor="text1"/>
          <w:lang w:val="en-US"/>
        </w:rPr>
        <w:t>controls</w:t>
      </w:r>
      <w:r w:rsidR="00820F8E" w:rsidRPr="00004507">
        <w:rPr>
          <w:rFonts w:ascii="Arial" w:hAnsi="Arial" w:cs="Arial"/>
          <w:color w:val="000000" w:themeColor="text1"/>
          <w:lang w:val="en-US"/>
        </w:rPr>
        <w:t>. T</w:t>
      </w:r>
      <w:r w:rsidRPr="00004507">
        <w:rPr>
          <w:rFonts w:ascii="Arial" w:hAnsi="Arial" w:cs="Arial"/>
          <w:color w:val="000000" w:themeColor="text1"/>
          <w:lang w:val="en-US"/>
        </w:rPr>
        <w:t xml:space="preserve">he results are </w:t>
      </w:r>
      <w:r w:rsidR="00820F8E" w:rsidRPr="00004507">
        <w:rPr>
          <w:rFonts w:ascii="Arial" w:hAnsi="Arial" w:cs="Arial"/>
          <w:color w:val="000000" w:themeColor="text1"/>
          <w:lang w:val="en-US"/>
        </w:rPr>
        <w:t xml:space="preserve">presented </w:t>
      </w:r>
      <w:r w:rsidRPr="00004507">
        <w:rPr>
          <w:rFonts w:ascii="Arial" w:hAnsi="Arial" w:cs="Arial"/>
          <w:color w:val="000000" w:themeColor="text1"/>
          <w:lang w:val="en-US"/>
        </w:rPr>
        <w:t>in Table</w:t>
      </w:r>
      <w:r w:rsidR="008C4652" w:rsidRPr="00004507">
        <w:rPr>
          <w:rFonts w:ascii="Arial" w:hAnsi="Arial" w:cs="Arial"/>
          <w:color w:val="000000" w:themeColor="text1"/>
          <w:lang w:val="en-US"/>
        </w:rPr>
        <w:t>s</w:t>
      </w:r>
      <w:r w:rsidRPr="00004507">
        <w:rPr>
          <w:rFonts w:ascii="Arial" w:hAnsi="Arial" w:cs="Arial"/>
          <w:color w:val="000000" w:themeColor="text1"/>
          <w:lang w:val="en-US"/>
        </w:rPr>
        <w:t xml:space="preserve"> 2</w:t>
      </w:r>
      <w:r w:rsidR="008C4652" w:rsidRPr="00004507">
        <w:rPr>
          <w:rFonts w:ascii="Arial" w:hAnsi="Arial" w:cs="Arial"/>
          <w:color w:val="000000" w:themeColor="text1"/>
          <w:lang w:val="en-US"/>
        </w:rPr>
        <w:t>, 3</w:t>
      </w:r>
      <w:r w:rsidR="00820F8E" w:rsidRPr="00004507">
        <w:rPr>
          <w:rFonts w:ascii="Arial" w:hAnsi="Arial" w:cs="Arial"/>
          <w:color w:val="000000" w:themeColor="text1"/>
          <w:lang w:val="en-US"/>
        </w:rPr>
        <w:t>,</w:t>
      </w:r>
      <w:r w:rsidR="008C4652" w:rsidRPr="00004507">
        <w:rPr>
          <w:rFonts w:ascii="Arial" w:hAnsi="Arial" w:cs="Arial"/>
          <w:color w:val="000000" w:themeColor="text1"/>
          <w:lang w:val="en-US"/>
        </w:rPr>
        <w:t xml:space="preserve"> and 4</w:t>
      </w:r>
      <w:r w:rsidRPr="00004507">
        <w:rPr>
          <w:rFonts w:ascii="Arial" w:hAnsi="Arial" w:cs="Arial"/>
          <w:color w:val="000000" w:themeColor="text1"/>
          <w:lang w:val="en-US"/>
        </w:rPr>
        <w:t xml:space="preserve">. </w:t>
      </w:r>
      <w:r w:rsidR="00FC2DF5" w:rsidRPr="00004507">
        <w:rPr>
          <w:rFonts w:ascii="Arial" w:hAnsi="Arial" w:cs="Arial"/>
          <w:color w:val="000000" w:themeColor="text1"/>
          <w:lang w:val="en-US"/>
        </w:rPr>
        <w:t xml:space="preserve">The </w:t>
      </w:r>
      <w:r w:rsidR="00054321" w:rsidRPr="00004507">
        <w:rPr>
          <w:rFonts w:ascii="Arial" w:hAnsi="Arial" w:cs="Arial"/>
          <w:i/>
          <w:color w:val="000000" w:themeColor="text1"/>
          <w:lang w:val="en-US"/>
        </w:rPr>
        <w:t>−</w:t>
      </w:r>
      <w:r w:rsidR="00A0059A" w:rsidRPr="00004507">
        <w:rPr>
          <w:rFonts w:ascii="Arial" w:hAnsi="Arial" w:cs="Arial"/>
          <w:i/>
          <w:color w:val="000000" w:themeColor="text1"/>
          <w:lang w:val="en-US"/>
        </w:rPr>
        <w:t>107</w:t>
      </w:r>
      <w:r w:rsidR="00FC2DF5" w:rsidRPr="00004507">
        <w:rPr>
          <w:rFonts w:ascii="Arial" w:hAnsi="Arial" w:cs="Arial"/>
          <w:i/>
          <w:color w:val="000000" w:themeColor="text1"/>
          <w:lang w:val="en-US"/>
        </w:rPr>
        <w:t>C</w:t>
      </w:r>
      <w:r w:rsidR="00FC2DF5" w:rsidRPr="00004507">
        <w:rPr>
          <w:rFonts w:ascii="Arial" w:hAnsi="Arial" w:cs="Arial"/>
          <w:color w:val="000000" w:themeColor="text1"/>
          <w:lang w:val="en-US"/>
        </w:rPr>
        <w:t xml:space="preserve"> allele</w:t>
      </w:r>
      <w:r w:rsidR="001406C4" w:rsidRPr="00004507">
        <w:rPr>
          <w:rFonts w:ascii="Arial" w:hAnsi="Arial" w:cs="Arial"/>
          <w:color w:val="000000" w:themeColor="text1"/>
          <w:lang w:val="en-US"/>
        </w:rPr>
        <w:t xml:space="preserve"> </w:t>
      </w:r>
      <w:r w:rsidR="00F14EC7" w:rsidRPr="00004507">
        <w:rPr>
          <w:rFonts w:ascii="Arial" w:hAnsi="Arial" w:cs="Arial"/>
          <w:color w:val="000000" w:themeColor="text1"/>
          <w:lang w:val="en-US"/>
        </w:rPr>
        <w:t>frequency was found to be</w:t>
      </w:r>
      <w:r w:rsidR="001406C4" w:rsidRPr="00004507">
        <w:rPr>
          <w:rFonts w:ascii="Arial" w:hAnsi="Arial" w:cs="Arial"/>
          <w:color w:val="000000" w:themeColor="text1"/>
          <w:lang w:val="en-US"/>
        </w:rPr>
        <w:t xml:space="preserve"> </w:t>
      </w:r>
      <w:r w:rsidR="00A0059A" w:rsidRPr="00004507">
        <w:rPr>
          <w:rFonts w:ascii="Arial" w:hAnsi="Arial" w:cs="Arial"/>
          <w:color w:val="000000" w:themeColor="text1"/>
          <w:lang w:val="en-US"/>
        </w:rPr>
        <w:t>0.397</w:t>
      </w:r>
      <w:r w:rsidR="00FC2DF5" w:rsidRPr="00004507">
        <w:rPr>
          <w:rFonts w:ascii="Arial" w:hAnsi="Arial" w:cs="Arial"/>
          <w:color w:val="000000" w:themeColor="text1"/>
          <w:lang w:val="en-US"/>
        </w:rPr>
        <w:t xml:space="preserve"> in </w:t>
      </w:r>
      <w:r w:rsidR="00367895" w:rsidRPr="00004507">
        <w:rPr>
          <w:rFonts w:ascii="Arial" w:hAnsi="Arial" w:cs="Arial"/>
          <w:color w:val="000000" w:themeColor="text1"/>
          <w:lang w:val="en-US"/>
        </w:rPr>
        <w:t xml:space="preserve">the </w:t>
      </w:r>
      <w:r w:rsidR="00FC2DF5" w:rsidRPr="00004507">
        <w:rPr>
          <w:rFonts w:ascii="Arial" w:hAnsi="Arial" w:cs="Arial"/>
          <w:color w:val="000000" w:themeColor="text1"/>
          <w:lang w:val="en-US"/>
        </w:rPr>
        <w:t xml:space="preserve">PEX patients, </w:t>
      </w:r>
      <w:r w:rsidR="00A0059A" w:rsidRPr="00004507">
        <w:rPr>
          <w:rFonts w:ascii="Arial" w:hAnsi="Arial" w:cs="Arial"/>
          <w:color w:val="000000" w:themeColor="text1"/>
          <w:lang w:val="en-US"/>
        </w:rPr>
        <w:t>0.</w:t>
      </w:r>
      <w:r w:rsidR="00FC2DF5" w:rsidRPr="00004507">
        <w:rPr>
          <w:rFonts w:ascii="Arial" w:hAnsi="Arial" w:cs="Arial"/>
          <w:color w:val="000000" w:themeColor="text1"/>
          <w:lang w:val="en-US"/>
        </w:rPr>
        <w:t>47</w:t>
      </w:r>
      <w:r w:rsidR="00A0059A" w:rsidRPr="00004507">
        <w:rPr>
          <w:rFonts w:ascii="Arial" w:hAnsi="Arial" w:cs="Arial"/>
          <w:color w:val="000000" w:themeColor="text1"/>
          <w:lang w:val="en-US"/>
        </w:rPr>
        <w:t>0</w:t>
      </w:r>
      <w:r w:rsidR="00FC2DF5" w:rsidRPr="00004507">
        <w:rPr>
          <w:rFonts w:ascii="Arial" w:hAnsi="Arial" w:cs="Arial"/>
          <w:color w:val="000000" w:themeColor="text1"/>
          <w:lang w:val="en-US"/>
        </w:rPr>
        <w:t xml:space="preserve"> in </w:t>
      </w:r>
      <w:r w:rsidR="00367895" w:rsidRPr="00004507">
        <w:rPr>
          <w:rFonts w:ascii="Arial" w:hAnsi="Arial" w:cs="Arial"/>
          <w:color w:val="000000" w:themeColor="text1"/>
          <w:lang w:val="en-US"/>
        </w:rPr>
        <w:t xml:space="preserve">the </w:t>
      </w:r>
      <w:r w:rsidR="00FC2DF5" w:rsidRPr="00004507">
        <w:rPr>
          <w:rFonts w:ascii="Arial" w:hAnsi="Arial" w:cs="Arial"/>
          <w:color w:val="000000" w:themeColor="text1"/>
          <w:lang w:val="en-US"/>
        </w:rPr>
        <w:t xml:space="preserve">PEG patients and </w:t>
      </w:r>
      <w:r w:rsidR="00A0059A" w:rsidRPr="00004507">
        <w:rPr>
          <w:rFonts w:ascii="Arial" w:hAnsi="Arial" w:cs="Arial"/>
          <w:color w:val="000000" w:themeColor="text1"/>
          <w:lang w:val="en-US"/>
        </w:rPr>
        <w:t>0.437</w:t>
      </w:r>
      <w:r w:rsidR="00FC2DF5" w:rsidRPr="00004507">
        <w:rPr>
          <w:rFonts w:ascii="Arial" w:hAnsi="Arial" w:cs="Arial"/>
          <w:color w:val="000000" w:themeColor="text1"/>
          <w:lang w:val="en-US"/>
        </w:rPr>
        <w:t xml:space="preserve"> in </w:t>
      </w:r>
      <w:r w:rsidR="00367895" w:rsidRPr="00004507">
        <w:rPr>
          <w:rFonts w:ascii="Arial" w:hAnsi="Arial" w:cs="Arial"/>
          <w:color w:val="000000" w:themeColor="text1"/>
          <w:lang w:val="en-US"/>
        </w:rPr>
        <w:t xml:space="preserve">the </w:t>
      </w:r>
      <w:r w:rsidR="00FC2DF5" w:rsidRPr="00004507">
        <w:rPr>
          <w:rFonts w:ascii="Arial" w:hAnsi="Arial" w:cs="Arial"/>
          <w:color w:val="000000" w:themeColor="text1"/>
          <w:lang w:val="en-US"/>
        </w:rPr>
        <w:t xml:space="preserve">controls (Table 2). The distribution of </w:t>
      </w:r>
      <w:r w:rsidR="00367895" w:rsidRPr="00004507">
        <w:rPr>
          <w:rFonts w:ascii="Arial" w:hAnsi="Arial" w:cs="Arial"/>
          <w:color w:val="000000" w:themeColor="text1"/>
          <w:lang w:val="en-US"/>
        </w:rPr>
        <w:t xml:space="preserve">the </w:t>
      </w:r>
      <w:r w:rsidR="00FC2DF5" w:rsidRPr="00004507">
        <w:rPr>
          <w:rFonts w:ascii="Arial" w:hAnsi="Arial" w:cs="Arial"/>
          <w:i/>
          <w:color w:val="000000" w:themeColor="text1"/>
          <w:lang w:val="en-US"/>
        </w:rPr>
        <w:t>C</w:t>
      </w:r>
      <w:r w:rsidR="00FC2DF5" w:rsidRPr="00004507">
        <w:rPr>
          <w:rFonts w:ascii="Arial" w:hAnsi="Arial" w:cs="Arial"/>
          <w:color w:val="000000" w:themeColor="text1"/>
          <w:lang w:val="en-US"/>
        </w:rPr>
        <w:t xml:space="preserve"> allele was not significantly different </w:t>
      </w:r>
      <w:r w:rsidR="00CF098E" w:rsidRPr="00004507">
        <w:rPr>
          <w:rFonts w:ascii="Arial" w:hAnsi="Arial" w:cs="Arial"/>
          <w:color w:val="000000" w:themeColor="text1"/>
          <w:lang w:val="en-US"/>
        </w:rPr>
        <w:t>between</w:t>
      </w:r>
      <w:r w:rsidR="00FC2DF5" w:rsidRPr="00004507">
        <w:rPr>
          <w:rFonts w:ascii="Arial" w:hAnsi="Arial" w:cs="Arial"/>
          <w:color w:val="000000" w:themeColor="text1"/>
          <w:lang w:val="en-US"/>
        </w:rPr>
        <w:t xml:space="preserve"> the three study groups. </w:t>
      </w:r>
      <w:r w:rsidR="00B80AB9">
        <w:rPr>
          <w:rFonts w:ascii="Arial" w:hAnsi="Arial" w:cs="Arial"/>
          <w:color w:val="000000" w:themeColor="text1"/>
          <w:lang w:val="en-US"/>
        </w:rPr>
        <w:t>Although t</w:t>
      </w:r>
      <w:r w:rsidR="00FC2DF5" w:rsidRPr="00004507">
        <w:rPr>
          <w:rFonts w:ascii="Arial" w:hAnsi="Arial" w:cs="Arial"/>
          <w:color w:val="000000" w:themeColor="text1"/>
          <w:lang w:val="en-US"/>
        </w:rPr>
        <w:t>he genotype distribution i</w:t>
      </w:r>
      <w:r w:rsidR="00A0059A" w:rsidRPr="00004507">
        <w:rPr>
          <w:rFonts w:ascii="Arial" w:hAnsi="Arial" w:cs="Arial"/>
          <w:color w:val="000000" w:themeColor="text1"/>
          <w:lang w:val="en-US"/>
        </w:rPr>
        <w:t>n the dominant model (</w:t>
      </w:r>
      <w:r w:rsidR="00A0059A" w:rsidRPr="00004507">
        <w:rPr>
          <w:rFonts w:ascii="Arial" w:hAnsi="Arial" w:cs="Arial"/>
          <w:i/>
          <w:color w:val="000000" w:themeColor="text1"/>
          <w:lang w:val="en-US"/>
        </w:rPr>
        <w:t>CC</w:t>
      </w:r>
      <w:r w:rsidR="00CF098E" w:rsidRPr="00004507">
        <w:rPr>
          <w:rFonts w:ascii="Arial" w:hAnsi="Arial" w:cs="Arial"/>
          <w:color w:val="000000" w:themeColor="text1"/>
          <w:lang w:val="en-US"/>
        </w:rPr>
        <w:t xml:space="preserve"> </w:t>
      </w:r>
      <w:r w:rsidR="00A0059A" w:rsidRPr="00004507">
        <w:rPr>
          <w:rFonts w:ascii="Arial" w:hAnsi="Arial" w:cs="Arial"/>
          <w:color w:val="000000" w:themeColor="text1"/>
          <w:lang w:val="en-US"/>
        </w:rPr>
        <w:t>+</w:t>
      </w:r>
      <w:r w:rsidR="00CF098E" w:rsidRPr="00004507">
        <w:rPr>
          <w:rFonts w:ascii="Arial" w:hAnsi="Arial" w:cs="Arial"/>
          <w:color w:val="000000" w:themeColor="text1"/>
          <w:lang w:val="en-US"/>
        </w:rPr>
        <w:t xml:space="preserve"> </w:t>
      </w:r>
      <w:r w:rsidR="00A0059A" w:rsidRPr="00004507">
        <w:rPr>
          <w:rFonts w:ascii="Arial" w:hAnsi="Arial" w:cs="Arial"/>
          <w:i/>
          <w:color w:val="000000" w:themeColor="text1"/>
          <w:lang w:val="en-US"/>
        </w:rPr>
        <w:t>TC</w:t>
      </w:r>
      <w:r w:rsidR="00A0059A" w:rsidRPr="00004507">
        <w:rPr>
          <w:rFonts w:ascii="Arial" w:hAnsi="Arial" w:cs="Arial"/>
          <w:color w:val="000000" w:themeColor="text1"/>
          <w:lang w:val="en-US"/>
        </w:rPr>
        <w:t xml:space="preserve"> vs. </w:t>
      </w:r>
      <w:r w:rsidR="00FC2DF5" w:rsidRPr="00004507">
        <w:rPr>
          <w:rFonts w:ascii="Arial" w:hAnsi="Arial" w:cs="Arial"/>
          <w:i/>
          <w:color w:val="000000" w:themeColor="text1"/>
          <w:lang w:val="en-US"/>
        </w:rPr>
        <w:t>TT</w:t>
      </w:r>
      <w:r w:rsidR="00FC2DF5" w:rsidRPr="00004507">
        <w:rPr>
          <w:rFonts w:ascii="Arial" w:hAnsi="Arial" w:cs="Arial"/>
          <w:color w:val="000000" w:themeColor="text1"/>
          <w:lang w:val="en-US"/>
        </w:rPr>
        <w:t xml:space="preserve">) </w:t>
      </w:r>
      <w:r w:rsidR="00B80AB9">
        <w:rPr>
          <w:rFonts w:ascii="Arial" w:hAnsi="Arial" w:cs="Arial"/>
          <w:color w:val="000000" w:themeColor="text1"/>
          <w:lang w:val="en-US"/>
        </w:rPr>
        <w:t xml:space="preserve">resulted in a P value of </w:t>
      </w:r>
      <w:r w:rsidR="008E3895" w:rsidRPr="00004507">
        <w:rPr>
          <w:rFonts w:ascii="Arial" w:hAnsi="Arial" w:cs="Arial"/>
          <w:color w:val="000000" w:themeColor="text1"/>
          <w:lang w:val="en-US"/>
        </w:rPr>
        <w:t>0.030</w:t>
      </w:r>
      <w:r w:rsidR="008E3895">
        <w:rPr>
          <w:rFonts w:ascii="Arial" w:hAnsi="Arial" w:cs="Arial"/>
          <w:color w:val="000000" w:themeColor="text1"/>
          <w:lang w:val="en-US"/>
        </w:rPr>
        <w:t xml:space="preserve"> </w:t>
      </w:r>
      <w:r w:rsidR="00D22B38" w:rsidRPr="00004507">
        <w:rPr>
          <w:rFonts w:ascii="Arial" w:hAnsi="Arial" w:cs="Arial"/>
          <w:color w:val="000000" w:themeColor="text1"/>
          <w:lang w:val="en-US"/>
        </w:rPr>
        <w:t>between</w:t>
      </w:r>
      <w:r w:rsidR="00B075C6" w:rsidRPr="00004507">
        <w:rPr>
          <w:rFonts w:ascii="Arial" w:hAnsi="Arial" w:cs="Arial"/>
          <w:color w:val="000000" w:themeColor="text1"/>
          <w:lang w:val="en-US"/>
        </w:rPr>
        <w:t xml:space="preserve"> </w:t>
      </w:r>
      <w:r w:rsidR="00CF098E" w:rsidRPr="00004507">
        <w:rPr>
          <w:rFonts w:ascii="Arial" w:hAnsi="Arial" w:cs="Arial"/>
          <w:color w:val="000000" w:themeColor="text1"/>
          <w:lang w:val="en-US"/>
        </w:rPr>
        <w:t xml:space="preserve">the </w:t>
      </w:r>
      <w:r w:rsidR="00D22B38" w:rsidRPr="00004507">
        <w:rPr>
          <w:rFonts w:ascii="Arial" w:hAnsi="Arial" w:cs="Arial"/>
          <w:color w:val="000000" w:themeColor="text1"/>
          <w:lang w:val="en-US"/>
        </w:rPr>
        <w:t>PEX patients and</w:t>
      </w:r>
      <w:r w:rsidR="00F14EC7" w:rsidRPr="00004507">
        <w:rPr>
          <w:rFonts w:ascii="Arial" w:hAnsi="Arial" w:cs="Arial"/>
          <w:color w:val="000000" w:themeColor="text1"/>
          <w:lang w:val="en-US"/>
        </w:rPr>
        <w:t xml:space="preserve"> </w:t>
      </w:r>
      <w:r w:rsidR="00CF098E" w:rsidRPr="00004507">
        <w:rPr>
          <w:rFonts w:ascii="Arial" w:hAnsi="Arial" w:cs="Arial"/>
          <w:color w:val="000000" w:themeColor="text1"/>
          <w:lang w:val="en-US"/>
        </w:rPr>
        <w:t xml:space="preserve">the </w:t>
      </w:r>
      <w:r w:rsidR="0074090A" w:rsidRPr="00004507">
        <w:rPr>
          <w:rFonts w:ascii="Arial" w:hAnsi="Arial" w:cs="Arial"/>
          <w:color w:val="000000" w:themeColor="text1"/>
          <w:lang w:val="en-US"/>
        </w:rPr>
        <w:t>contr</w:t>
      </w:r>
      <w:r w:rsidR="00A0059A" w:rsidRPr="00004507">
        <w:rPr>
          <w:rFonts w:ascii="Arial" w:hAnsi="Arial" w:cs="Arial"/>
          <w:color w:val="000000" w:themeColor="text1"/>
          <w:lang w:val="en-US"/>
        </w:rPr>
        <w:t>ols</w:t>
      </w:r>
      <w:r w:rsidR="00D22B38" w:rsidRPr="00004507">
        <w:rPr>
          <w:rFonts w:ascii="Arial" w:hAnsi="Arial" w:cs="Arial"/>
          <w:color w:val="000000" w:themeColor="text1"/>
          <w:lang w:val="en-US"/>
        </w:rPr>
        <w:t xml:space="preserve"> as well as between</w:t>
      </w:r>
      <w:r w:rsidR="0074090A" w:rsidRPr="00004507">
        <w:rPr>
          <w:rFonts w:ascii="Arial" w:hAnsi="Arial" w:cs="Arial"/>
          <w:color w:val="000000" w:themeColor="text1"/>
          <w:lang w:val="en-US"/>
        </w:rPr>
        <w:t xml:space="preserve"> </w:t>
      </w:r>
      <w:r w:rsidR="00AD5C54" w:rsidRPr="00004507">
        <w:rPr>
          <w:rFonts w:ascii="Arial" w:hAnsi="Arial" w:cs="Arial"/>
          <w:color w:val="000000" w:themeColor="text1"/>
          <w:lang w:val="en-US"/>
        </w:rPr>
        <w:t xml:space="preserve">the </w:t>
      </w:r>
      <w:r w:rsidR="00D22B38" w:rsidRPr="00004507">
        <w:rPr>
          <w:rFonts w:ascii="Arial" w:hAnsi="Arial" w:cs="Arial"/>
          <w:color w:val="000000" w:themeColor="text1"/>
          <w:lang w:val="en-US"/>
        </w:rPr>
        <w:t xml:space="preserve">PEG </w:t>
      </w:r>
      <w:r w:rsidR="00AD5C54" w:rsidRPr="00004507">
        <w:rPr>
          <w:rFonts w:ascii="Arial" w:hAnsi="Arial" w:cs="Arial"/>
          <w:color w:val="000000" w:themeColor="text1"/>
          <w:lang w:val="en-US"/>
        </w:rPr>
        <w:t xml:space="preserve">patients </w:t>
      </w:r>
      <w:r w:rsidR="00D22B38" w:rsidRPr="00004507">
        <w:rPr>
          <w:rFonts w:ascii="Arial" w:hAnsi="Arial" w:cs="Arial"/>
          <w:color w:val="000000" w:themeColor="text1"/>
          <w:lang w:val="en-US"/>
        </w:rPr>
        <w:t>and</w:t>
      </w:r>
      <w:r w:rsidR="00F14EC7" w:rsidRPr="00004507">
        <w:rPr>
          <w:rFonts w:ascii="Arial" w:hAnsi="Arial" w:cs="Arial"/>
          <w:color w:val="000000" w:themeColor="text1"/>
          <w:lang w:val="en-US"/>
        </w:rPr>
        <w:t xml:space="preserve"> </w:t>
      </w:r>
      <w:r w:rsidR="00AD5C54" w:rsidRPr="00004507">
        <w:rPr>
          <w:rFonts w:ascii="Arial" w:hAnsi="Arial" w:cs="Arial"/>
          <w:color w:val="000000" w:themeColor="text1"/>
          <w:lang w:val="en-US"/>
        </w:rPr>
        <w:t xml:space="preserve">the </w:t>
      </w:r>
      <w:r w:rsidR="001320A7">
        <w:rPr>
          <w:rFonts w:ascii="Arial" w:hAnsi="Arial" w:cs="Arial"/>
          <w:color w:val="000000" w:themeColor="text1"/>
          <w:lang w:val="en-US"/>
        </w:rPr>
        <w:t>PEX patients</w:t>
      </w:r>
      <w:r w:rsidR="008E3895">
        <w:rPr>
          <w:rFonts w:ascii="Arial" w:hAnsi="Arial" w:cs="Arial"/>
          <w:color w:val="000000" w:themeColor="text1"/>
          <w:lang w:val="en-US"/>
        </w:rPr>
        <w:t>, this result showed no significant association after multiple testing with a significance cut-off value of 0.0083</w:t>
      </w:r>
      <w:r w:rsidR="00B075C6" w:rsidRPr="00004507">
        <w:rPr>
          <w:rFonts w:ascii="Arial" w:hAnsi="Arial" w:cs="Arial"/>
          <w:color w:val="000000" w:themeColor="text1"/>
          <w:lang w:val="en-US"/>
        </w:rPr>
        <w:t>.</w:t>
      </w:r>
      <w:r w:rsidR="00F14EC7" w:rsidRPr="00004507">
        <w:rPr>
          <w:rFonts w:ascii="Arial" w:hAnsi="Arial" w:cs="Arial"/>
          <w:color w:val="000000" w:themeColor="text1"/>
          <w:lang w:val="en-US"/>
        </w:rPr>
        <w:t xml:space="preserve"> </w:t>
      </w:r>
      <w:r w:rsidR="00D22B38" w:rsidRPr="00004507">
        <w:rPr>
          <w:rFonts w:ascii="Arial" w:hAnsi="Arial" w:cs="Arial"/>
          <w:color w:val="000000" w:themeColor="text1"/>
          <w:lang w:val="en-US"/>
        </w:rPr>
        <w:t xml:space="preserve">The </w:t>
      </w:r>
      <w:r w:rsidR="00A0059A" w:rsidRPr="00004507">
        <w:rPr>
          <w:rFonts w:ascii="Arial" w:hAnsi="Arial" w:cs="Arial"/>
          <w:i/>
          <w:color w:val="000000" w:themeColor="text1"/>
          <w:lang w:val="en-US"/>
        </w:rPr>
        <w:t>192</w:t>
      </w:r>
      <w:r w:rsidR="005A5B71" w:rsidRPr="00004507">
        <w:rPr>
          <w:rFonts w:ascii="Arial" w:hAnsi="Arial" w:cs="Arial"/>
          <w:i/>
          <w:color w:val="000000" w:themeColor="text1"/>
          <w:lang w:val="en-US"/>
        </w:rPr>
        <w:t>Q/R</w:t>
      </w:r>
      <w:r w:rsidR="005A5B71" w:rsidRPr="00004507">
        <w:rPr>
          <w:rFonts w:ascii="Arial" w:hAnsi="Arial" w:cs="Arial"/>
          <w:color w:val="000000" w:themeColor="text1"/>
          <w:lang w:val="en-US"/>
        </w:rPr>
        <w:t xml:space="preserve"> genotype and allele frequencies did not differ significantly </w:t>
      </w:r>
      <w:r w:rsidR="009801E5" w:rsidRPr="00004507">
        <w:rPr>
          <w:rFonts w:ascii="Arial" w:hAnsi="Arial" w:cs="Arial"/>
          <w:color w:val="000000" w:themeColor="text1"/>
          <w:lang w:val="en-US"/>
        </w:rPr>
        <w:t>between</w:t>
      </w:r>
      <w:r w:rsidR="005A5B71" w:rsidRPr="00004507">
        <w:rPr>
          <w:rFonts w:ascii="Arial" w:hAnsi="Arial" w:cs="Arial"/>
          <w:color w:val="000000" w:themeColor="text1"/>
          <w:lang w:val="en-US"/>
        </w:rPr>
        <w:t xml:space="preserve"> the groups (Table 3). The </w:t>
      </w:r>
      <w:r w:rsidR="005A5B71" w:rsidRPr="00004507">
        <w:rPr>
          <w:rFonts w:ascii="Arial" w:hAnsi="Arial" w:cs="Arial"/>
          <w:i/>
          <w:color w:val="000000" w:themeColor="text1"/>
          <w:lang w:val="en-US"/>
        </w:rPr>
        <w:t xml:space="preserve">R </w:t>
      </w:r>
      <w:r w:rsidR="00245EE0" w:rsidRPr="00004507">
        <w:rPr>
          <w:rFonts w:ascii="Arial" w:hAnsi="Arial" w:cs="Arial"/>
          <w:color w:val="000000" w:themeColor="text1"/>
          <w:lang w:val="en-US"/>
        </w:rPr>
        <w:t>allele frequencies were</w:t>
      </w:r>
      <w:r w:rsidR="005A5B71" w:rsidRPr="00004507">
        <w:rPr>
          <w:rFonts w:ascii="Arial" w:hAnsi="Arial" w:cs="Arial"/>
          <w:color w:val="000000" w:themeColor="text1"/>
          <w:lang w:val="en-US"/>
        </w:rPr>
        <w:t xml:space="preserve"> </w:t>
      </w:r>
      <w:r w:rsidR="00A0059A" w:rsidRPr="00004507">
        <w:rPr>
          <w:rFonts w:ascii="Arial" w:hAnsi="Arial" w:cs="Arial"/>
          <w:color w:val="000000" w:themeColor="text1"/>
          <w:lang w:val="en-US"/>
        </w:rPr>
        <w:t>0.250</w:t>
      </w:r>
      <w:r w:rsidR="005A5B71" w:rsidRPr="00004507">
        <w:rPr>
          <w:rFonts w:ascii="Arial" w:hAnsi="Arial" w:cs="Arial"/>
          <w:color w:val="000000" w:themeColor="text1"/>
          <w:lang w:val="en-US"/>
        </w:rPr>
        <w:t xml:space="preserve">, </w:t>
      </w:r>
      <w:r w:rsidR="00A0059A" w:rsidRPr="00004507">
        <w:rPr>
          <w:rFonts w:ascii="Arial" w:hAnsi="Arial" w:cs="Arial"/>
          <w:color w:val="000000" w:themeColor="text1"/>
          <w:lang w:val="en-US"/>
        </w:rPr>
        <w:t>0.290</w:t>
      </w:r>
      <w:r w:rsidR="005A5B71" w:rsidRPr="00004507">
        <w:rPr>
          <w:rFonts w:ascii="Arial" w:hAnsi="Arial" w:cs="Arial"/>
          <w:color w:val="000000" w:themeColor="text1"/>
          <w:lang w:val="en-US"/>
        </w:rPr>
        <w:t xml:space="preserve"> and </w:t>
      </w:r>
      <w:r w:rsidR="00A0059A" w:rsidRPr="00004507">
        <w:rPr>
          <w:rFonts w:ascii="Arial" w:hAnsi="Arial" w:cs="Arial"/>
          <w:color w:val="000000" w:themeColor="text1"/>
          <w:lang w:val="en-US"/>
        </w:rPr>
        <w:t>0.303</w:t>
      </w:r>
      <w:r w:rsidR="005A5B71" w:rsidRPr="00004507">
        <w:rPr>
          <w:rFonts w:ascii="Arial" w:hAnsi="Arial" w:cs="Arial"/>
          <w:color w:val="000000" w:themeColor="text1"/>
          <w:lang w:val="en-US"/>
        </w:rPr>
        <w:t xml:space="preserve"> in </w:t>
      </w:r>
      <w:r w:rsidR="00574F70" w:rsidRPr="00004507">
        <w:rPr>
          <w:rFonts w:ascii="Arial" w:hAnsi="Arial" w:cs="Arial"/>
          <w:color w:val="000000" w:themeColor="text1"/>
          <w:lang w:val="en-US"/>
        </w:rPr>
        <w:t>the PEG</w:t>
      </w:r>
      <w:r w:rsidR="005A5B71" w:rsidRPr="00004507">
        <w:rPr>
          <w:rFonts w:ascii="Arial" w:hAnsi="Arial" w:cs="Arial"/>
          <w:color w:val="000000" w:themeColor="text1"/>
          <w:lang w:val="en-US"/>
        </w:rPr>
        <w:t>, PEX</w:t>
      </w:r>
      <w:r w:rsidR="00574F70" w:rsidRPr="00004507">
        <w:rPr>
          <w:rFonts w:ascii="Arial" w:hAnsi="Arial" w:cs="Arial"/>
          <w:color w:val="000000" w:themeColor="text1"/>
          <w:lang w:val="en-US"/>
        </w:rPr>
        <w:t xml:space="preserve">, </w:t>
      </w:r>
      <w:r w:rsidR="005A5B71" w:rsidRPr="00004507">
        <w:rPr>
          <w:rFonts w:ascii="Arial" w:hAnsi="Arial" w:cs="Arial"/>
          <w:color w:val="000000" w:themeColor="text1"/>
          <w:lang w:val="en-US"/>
        </w:rPr>
        <w:t>and control</w:t>
      </w:r>
      <w:r w:rsidR="00574F70" w:rsidRPr="00004507">
        <w:rPr>
          <w:rFonts w:ascii="Arial" w:hAnsi="Arial" w:cs="Arial"/>
          <w:color w:val="000000" w:themeColor="text1"/>
          <w:lang w:val="en-US"/>
        </w:rPr>
        <w:t xml:space="preserve"> group</w:t>
      </w:r>
      <w:r w:rsidR="005A5B71" w:rsidRPr="00004507">
        <w:rPr>
          <w:rFonts w:ascii="Arial" w:hAnsi="Arial" w:cs="Arial"/>
          <w:color w:val="000000" w:themeColor="text1"/>
          <w:lang w:val="en-US"/>
        </w:rPr>
        <w:t xml:space="preserve">s, respectively. </w:t>
      </w:r>
      <w:r w:rsidR="00574F70" w:rsidRPr="00004507">
        <w:rPr>
          <w:rFonts w:ascii="Arial" w:hAnsi="Arial" w:cs="Arial"/>
          <w:color w:val="000000" w:themeColor="text1"/>
          <w:lang w:val="en-US"/>
        </w:rPr>
        <w:t>Similarly, the frequencies</w:t>
      </w:r>
      <w:r w:rsidR="00D22B38" w:rsidRPr="00004507">
        <w:rPr>
          <w:rFonts w:ascii="Arial" w:hAnsi="Arial" w:cs="Arial"/>
          <w:color w:val="000000" w:themeColor="text1"/>
          <w:lang w:val="en-US"/>
        </w:rPr>
        <w:t xml:space="preserve"> of</w:t>
      </w:r>
      <w:r w:rsidR="00755A48" w:rsidRPr="00004507">
        <w:rPr>
          <w:rFonts w:ascii="Arial" w:hAnsi="Arial" w:cs="Arial"/>
          <w:color w:val="000000" w:themeColor="text1"/>
          <w:lang w:val="en-US"/>
        </w:rPr>
        <w:t xml:space="preserve"> </w:t>
      </w:r>
      <w:r w:rsidR="00574F70" w:rsidRPr="00004507">
        <w:rPr>
          <w:rFonts w:ascii="Arial" w:hAnsi="Arial" w:cs="Arial"/>
          <w:color w:val="000000" w:themeColor="text1"/>
          <w:lang w:val="en-US"/>
        </w:rPr>
        <w:t xml:space="preserve">the </w:t>
      </w:r>
      <w:r w:rsidR="00755A48" w:rsidRPr="00004507">
        <w:rPr>
          <w:rFonts w:ascii="Arial" w:hAnsi="Arial" w:cs="Arial"/>
          <w:i/>
          <w:color w:val="000000" w:themeColor="text1"/>
          <w:lang w:val="en-US"/>
        </w:rPr>
        <w:t>55M</w:t>
      </w:r>
      <w:r w:rsidR="00755A48" w:rsidRPr="00004507">
        <w:rPr>
          <w:rFonts w:ascii="Arial" w:hAnsi="Arial" w:cs="Arial"/>
          <w:color w:val="000000" w:themeColor="text1"/>
          <w:lang w:val="en-US"/>
        </w:rPr>
        <w:t xml:space="preserve"> allele </w:t>
      </w:r>
      <w:r w:rsidR="00574F70" w:rsidRPr="00004507">
        <w:rPr>
          <w:rFonts w:ascii="Arial" w:hAnsi="Arial" w:cs="Arial"/>
          <w:color w:val="000000" w:themeColor="text1"/>
          <w:lang w:val="en-US"/>
        </w:rPr>
        <w:t xml:space="preserve">were </w:t>
      </w:r>
      <w:r w:rsidR="00755A48" w:rsidRPr="00004507">
        <w:rPr>
          <w:rFonts w:ascii="Arial" w:hAnsi="Arial" w:cs="Arial"/>
          <w:color w:val="000000" w:themeColor="text1"/>
          <w:lang w:val="en-US"/>
        </w:rPr>
        <w:t xml:space="preserve">not different </w:t>
      </w:r>
      <w:r w:rsidR="00574F70" w:rsidRPr="00004507">
        <w:rPr>
          <w:rFonts w:ascii="Arial" w:hAnsi="Arial" w:cs="Arial"/>
          <w:color w:val="000000" w:themeColor="text1"/>
          <w:lang w:val="en-US"/>
        </w:rPr>
        <w:t xml:space="preserve">between </w:t>
      </w:r>
      <w:r w:rsidR="00755A48" w:rsidRPr="00004507">
        <w:rPr>
          <w:rFonts w:ascii="Arial" w:hAnsi="Arial" w:cs="Arial"/>
          <w:color w:val="000000" w:themeColor="text1"/>
          <w:lang w:val="en-US"/>
        </w:rPr>
        <w:t>the three study groups</w:t>
      </w:r>
      <w:r w:rsidR="00527261" w:rsidRPr="00004507">
        <w:rPr>
          <w:rFonts w:ascii="Arial" w:hAnsi="Arial" w:cs="Arial"/>
          <w:color w:val="000000" w:themeColor="text1"/>
          <w:lang w:val="en-US"/>
        </w:rPr>
        <w:t xml:space="preserve"> (Table 4)</w:t>
      </w:r>
      <w:r w:rsidR="00755A48" w:rsidRPr="00004507">
        <w:rPr>
          <w:rFonts w:ascii="Arial" w:hAnsi="Arial" w:cs="Arial"/>
          <w:color w:val="000000" w:themeColor="text1"/>
          <w:lang w:val="en-US"/>
        </w:rPr>
        <w:t>. The genotype distribution</w:t>
      </w:r>
      <w:r w:rsidR="008E3895">
        <w:rPr>
          <w:rFonts w:ascii="Arial" w:hAnsi="Arial" w:cs="Arial"/>
          <w:color w:val="000000" w:themeColor="text1"/>
          <w:lang w:val="en-US"/>
        </w:rPr>
        <w:t xml:space="preserve"> </w:t>
      </w:r>
      <w:r w:rsidR="00755A48" w:rsidRPr="00004507">
        <w:rPr>
          <w:rFonts w:ascii="Arial" w:hAnsi="Arial" w:cs="Arial"/>
          <w:color w:val="000000" w:themeColor="text1"/>
          <w:lang w:val="en-US"/>
        </w:rPr>
        <w:t xml:space="preserve">was </w:t>
      </w:r>
      <w:r w:rsidR="008E3895">
        <w:rPr>
          <w:rFonts w:ascii="Arial" w:hAnsi="Arial" w:cs="Arial"/>
          <w:color w:val="000000" w:themeColor="text1"/>
          <w:lang w:val="en-US"/>
        </w:rPr>
        <w:t xml:space="preserve">also not </w:t>
      </w:r>
      <w:r w:rsidR="00755A48" w:rsidRPr="00004507">
        <w:rPr>
          <w:rFonts w:ascii="Arial" w:hAnsi="Arial" w:cs="Arial"/>
          <w:color w:val="000000" w:themeColor="text1"/>
          <w:lang w:val="en-US"/>
        </w:rPr>
        <w:t xml:space="preserve">significantly different between </w:t>
      </w:r>
      <w:r w:rsidR="00574F70" w:rsidRPr="00004507">
        <w:rPr>
          <w:rFonts w:ascii="Arial" w:hAnsi="Arial" w:cs="Arial"/>
          <w:color w:val="000000" w:themeColor="text1"/>
          <w:lang w:val="en-US"/>
        </w:rPr>
        <w:t xml:space="preserve">the </w:t>
      </w:r>
      <w:r w:rsidR="008E3895">
        <w:rPr>
          <w:rFonts w:ascii="Arial" w:hAnsi="Arial" w:cs="Arial"/>
          <w:color w:val="000000" w:themeColor="text1"/>
          <w:lang w:val="en-US"/>
        </w:rPr>
        <w:t>study</w:t>
      </w:r>
      <w:r w:rsidR="00A4198F">
        <w:rPr>
          <w:rFonts w:ascii="Arial" w:hAnsi="Arial" w:cs="Arial"/>
          <w:color w:val="000000" w:themeColor="text1"/>
          <w:lang w:val="en-US"/>
        </w:rPr>
        <w:t xml:space="preserve"> </w:t>
      </w:r>
      <w:r w:rsidR="00755A48" w:rsidRPr="00004507">
        <w:rPr>
          <w:rFonts w:ascii="Arial" w:hAnsi="Arial" w:cs="Arial"/>
          <w:color w:val="000000" w:themeColor="text1"/>
          <w:lang w:val="en-US"/>
        </w:rPr>
        <w:t xml:space="preserve">groups </w:t>
      </w:r>
      <w:r w:rsidR="00B80AB9">
        <w:rPr>
          <w:rFonts w:ascii="Arial" w:eastAsia="Calibri" w:hAnsi="Arial" w:cs="Arial"/>
          <w:color w:val="000000" w:themeColor="text1"/>
          <w:lang w:val="en-US"/>
        </w:rPr>
        <w:t>after multiple testing</w:t>
      </w:r>
      <w:r w:rsidR="008E3895">
        <w:rPr>
          <w:rFonts w:ascii="Arial" w:eastAsia="Calibri" w:hAnsi="Arial" w:cs="Arial"/>
          <w:color w:val="000000" w:themeColor="text1"/>
          <w:lang w:val="en-US"/>
        </w:rPr>
        <w:t xml:space="preserve"> </w:t>
      </w:r>
      <w:proofErr w:type="gramStart"/>
      <w:r w:rsidR="008E3895">
        <w:rPr>
          <w:rFonts w:ascii="Arial" w:eastAsia="Calibri" w:hAnsi="Arial" w:cs="Arial"/>
          <w:color w:val="000000" w:themeColor="text1"/>
          <w:lang w:val="en-US"/>
        </w:rPr>
        <w:t>correction</w:t>
      </w:r>
      <w:proofErr w:type="gramEnd"/>
      <w:r w:rsidR="008E3895">
        <w:rPr>
          <w:rFonts w:ascii="Arial" w:eastAsia="Calibri" w:hAnsi="Arial" w:cs="Arial"/>
          <w:color w:val="000000" w:themeColor="text1"/>
          <w:lang w:val="en-US"/>
        </w:rPr>
        <w:t xml:space="preserve"> is applied. </w:t>
      </w:r>
    </w:p>
    <w:p w14:paraId="594CCEBC" w14:textId="23C7D964" w:rsidR="00401673" w:rsidRPr="00401673" w:rsidRDefault="00366BEB" w:rsidP="00D96D5B">
      <w:pPr>
        <w:autoSpaceDE w:val="0"/>
        <w:autoSpaceDN w:val="0"/>
        <w:adjustRightInd w:val="0"/>
        <w:spacing w:line="276" w:lineRule="auto"/>
        <w:jc w:val="both"/>
        <w:rPr>
          <w:rFonts w:ascii="Arial" w:hAnsi="Arial" w:cs="Arial"/>
          <w:szCs w:val="24"/>
          <w:lang w:val="en-US"/>
        </w:rPr>
      </w:pPr>
      <w:r w:rsidRPr="00004507">
        <w:rPr>
          <w:rFonts w:ascii="Arial" w:hAnsi="Arial" w:cs="Arial"/>
          <w:color w:val="000000" w:themeColor="text1"/>
          <w:lang w:val="en-US"/>
        </w:rPr>
        <w:t xml:space="preserve">We also analyzed the distribution of </w:t>
      </w:r>
      <w:r w:rsidR="00E009CA" w:rsidRPr="00004507">
        <w:rPr>
          <w:rFonts w:ascii="Arial" w:hAnsi="Arial" w:cs="Arial"/>
          <w:color w:val="000000" w:themeColor="text1"/>
          <w:lang w:val="en-US"/>
        </w:rPr>
        <w:t xml:space="preserve">the </w:t>
      </w:r>
      <w:r w:rsidR="00E6636E" w:rsidRPr="00004507">
        <w:rPr>
          <w:rFonts w:ascii="Arial" w:hAnsi="Arial" w:cs="Arial"/>
          <w:color w:val="000000" w:themeColor="text1"/>
          <w:lang w:val="en-US"/>
        </w:rPr>
        <w:t xml:space="preserve">triple combined </w:t>
      </w:r>
      <w:r w:rsidR="00654D74">
        <w:rPr>
          <w:rFonts w:ascii="Arial" w:hAnsi="Arial" w:cs="Arial"/>
          <w:color w:val="000000" w:themeColor="text1"/>
          <w:lang w:val="en-US"/>
        </w:rPr>
        <w:t>geno</w:t>
      </w:r>
      <w:r w:rsidR="00DC5D23">
        <w:rPr>
          <w:rFonts w:ascii="Arial" w:hAnsi="Arial" w:cs="Arial"/>
          <w:color w:val="000000" w:themeColor="text1"/>
          <w:lang w:val="en-US"/>
        </w:rPr>
        <w:t>types</w:t>
      </w:r>
      <w:r w:rsidR="00E009CA" w:rsidRPr="00004507">
        <w:rPr>
          <w:rFonts w:ascii="Arial" w:hAnsi="Arial" w:cs="Arial"/>
          <w:color w:val="000000" w:themeColor="text1"/>
          <w:lang w:val="en-US"/>
        </w:rPr>
        <w:t xml:space="preserve"> of the </w:t>
      </w:r>
      <w:r w:rsidR="00E009CA" w:rsidRPr="00004507">
        <w:rPr>
          <w:rFonts w:ascii="Arial" w:hAnsi="Arial" w:cs="Arial"/>
          <w:i/>
          <w:color w:val="000000" w:themeColor="text1"/>
          <w:lang w:val="en-US"/>
        </w:rPr>
        <w:t>PON1</w:t>
      </w:r>
      <w:r w:rsidR="00E009CA" w:rsidRPr="00004507">
        <w:rPr>
          <w:rFonts w:ascii="Arial" w:hAnsi="Arial" w:cs="Arial"/>
          <w:color w:val="000000" w:themeColor="text1"/>
          <w:lang w:val="en-US"/>
        </w:rPr>
        <w:t xml:space="preserve"> </w:t>
      </w:r>
      <w:r w:rsidR="00654D74">
        <w:rPr>
          <w:rFonts w:ascii="Arial" w:hAnsi="Arial" w:cs="Arial"/>
          <w:color w:val="000000" w:themeColor="text1"/>
          <w:lang w:val="en-US"/>
        </w:rPr>
        <w:t>gene</w:t>
      </w:r>
      <w:r w:rsidR="00E009CA" w:rsidRPr="00004507">
        <w:rPr>
          <w:rFonts w:ascii="Arial" w:hAnsi="Arial" w:cs="Arial"/>
          <w:color w:val="000000" w:themeColor="text1"/>
          <w:lang w:val="en-US"/>
        </w:rPr>
        <w:t xml:space="preserve"> </w:t>
      </w:r>
      <w:r w:rsidR="00F42B28" w:rsidRPr="00004507">
        <w:rPr>
          <w:rFonts w:ascii="Arial" w:hAnsi="Arial" w:cs="Arial"/>
          <w:color w:val="000000" w:themeColor="text1"/>
          <w:lang w:val="en-US"/>
        </w:rPr>
        <w:t xml:space="preserve">in </w:t>
      </w:r>
      <w:r w:rsidR="00FF1BBC" w:rsidRPr="00004507">
        <w:rPr>
          <w:rFonts w:ascii="Arial" w:hAnsi="Arial" w:cs="Arial"/>
          <w:color w:val="000000" w:themeColor="text1"/>
          <w:lang w:val="en-US"/>
        </w:rPr>
        <w:t>the</w:t>
      </w:r>
      <w:r w:rsidR="00F42B28" w:rsidRPr="00004507">
        <w:rPr>
          <w:rFonts w:ascii="Arial" w:hAnsi="Arial" w:cs="Arial"/>
          <w:color w:val="000000" w:themeColor="text1"/>
          <w:lang w:val="en-US"/>
        </w:rPr>
        <w:t xml:space="preserve"> </w:t>
      </w:r>
      <w:r w:rsidR="00654D74">
        <w:rPr>
          <w:rFonts w:ascii="Arial" w:hAnsi="Arial" w:cs="Arial"/>
          <w:color w:val="000000" w:themeColor="text1"/>
          <w:lang w:val="en-US"/>
        </w:rPr>
        <w:t xml:space="preserve">study </w:t>
      </w:r>
      <w:r w:rsidR="00F42B28" w:rsidRPr="00004507">
        <w:rPr>
          <w:rFonts w:ascii="Arial" w:hAnsi="Arial" w:cs="Arial"/>
          <w:color w:val="000000" w:themeColor="text1"/>
          <w:lang w:val="en-US"/>
        </w:rPr>
        <w:t xml:space="preserve">groups. </w:t>
      </w:r>
      <w:r w:rsidR="00094EE5" w:rsidRPr="00004507">
        <w:rPr>
          <w:rFonts w:ascii="Arial" w:hAnsi="Arial" w:cs="Arial"/>
          <w:color w:val="000000" w:themeColor="text1"/>
          <w:lang w:val="en-US"/>
        </w:rPr>
        <w:t xml:space="preserve">It was observed that </w:t>
      </w:r>
      <w:r w:rsidR="00FF1BBC" w:rsidRPr="00004507">
        <w:rPr>
          <w:rFonts w:ascii="Arial" w:hAnsi="Arial" w:cs="Arial"/>
          <w:color w:val="000000" w:themeColor="text1"/>
          <w:lang w:val="en-US"/>
        </w:rPr>
        <w:t xml:space="preserve">the </w:t>
      </w:r>
      <w:r w:rsidR="00E6636E" w:rsidRPr="00004507">
        <w:rPr>
          <w:rFonts w:ascii="Arial" w:hAnsi="Arial" w:cs="Arial"/>
          <w:i/>
          <w:color w:val="000000" w:themeColor="text1"/>
          <w:lang w:val="en-US"/>
        </w:rPr>
        <w:t>QQLLCC</w:t>
      </w:r>
      <w:r w:rsidR="00E6636E" w:rsidRPr="00004507">
        <w:rPr>
          <w:rFonts w:ascii="Arial" w:hAnsi="Arial" w:cs="Arial"/>
          <w:color w:val="000000" w:themeColor="text1"/>
          <w:lang w:val="en-US"/>
        </w:rPr>
        <w:t xml:space="preserve"> </w:t>
      </w:r>
      <w:r w:rsidR="00DC5D23">
        <w:rPr>
          <w:rFonts w:ascii="Arial" w:hAnsi="Arial" w:cs="Arial"/>
          <w:color w:val="000000" w:themeColor="text1"/>
          <w:lang w:val="en-US"/>
        </w:rPr>
        <w:t>geno</w:t>
      </w:r>
      <w:r w:rsidR="00DC5D23" w:rsidRPr="00004507">
        <w:rPr>
          <w:rFonts w:ascii="Arial" w:hAnsi="Arial" w:cs="Arial"/>
          <w:color w:val="000000" w:themeColor="text1"/>
          <w:lang w:val="en-US"/>
        </w:rPr>
        <w:t xml:space="preserve">type </w:t>
      </w:r>
      <w:r w:rsidR="00EC1013" w:rsidRPr="00004507">
        <w:rPr>
          <w:rFonts w:ascii="Arial" w:hAnsi="Arial" w:cs="Arial"/>
          <w:color w:val="000000" w:themeColor="text1"/>
          <w:lang w:val="en-US"/>
        </w:rPr>
        <w:t>was</w:t>
      </w:r>
      <w:r w:rsidR="00094EE5" w:rsidRPr="00004507">
        <w:rPr>
          <w:rFonts w:ascii="Arial" w:hAnsi="Arial" w:cs="Arial"/>
          <w:color w:val="000000" w:themeColor="text1"/>
          <w:lang w:val="en-US"/>
        </w:rPr>
        <w:t xml:space="preserve"> more </w:t>
      </w:r>
      <w:r w:rsidR="00FF1BBC" w:rsidRPr="00004507">
        <w:rPr>
          <w:rFonts w:ascii="Arial" w:hAnsi="Arial" w:cs="Arial"/>
          <w:color w:val="000000" w:themeColor="text1"/>
          <w:lang w:val="en-US"/>
        </w:rPr>
        <w:t xml:space="preserve">expressed </w:t>
      </w:r>
      <w:r w:rsidR="00094EE5" w:rsidRPr="00004507">
        <w:rPr>
          <w:rFonts w:ascii="Arial" w:hAnsi="Arial" w:cs="Arial"/>
          <w:color w:val="000000" w:themeColor="text1"/>
          <w:lang w:val="en-US"/>
        </w:rPr>
        <w:t xml:space="preserve">in PEX patients </w:t>
      </w:r>
      <w:r w:rsidR="00FF1BBC" w:rsidRPr="00004507">
        <w:rPr>
          <w:rFonts w:ascii="Arial" w:hAnsi="Arial" w:cs="Arial"/>
          <w:color w:val="000000" w:themeColor="text1"/>
          <w:lang w:val="en-US"/>
        </w:rPr>
        <w:t>than in</w:t>
      </w:r>
      <w:r w:rsidR="00094EE5" w:rsidRPr="00004507">
        <w:rPr>
          <w:rFonts w:ascii="Arial" w:hAnsi="Arial" w:cs="Arial"/>
          <w:color w:val="000000" w:themeColor="text1"/>
          <w:lang w:val="en-US"/>
        </w:rPr>
        <w:t xml:space="preserve"> </w:t>
      </w:r>
      <w:r w:rsidR="00F14EC7" w:rsidRPr="00004507">
        <w:rPr>
          <w:rFonts w:ascii="Arial" w:hAnsi="Arial" w:cs="Arial"/>
          <w:color w:val="000000" w:themeColor="text1"/>
          <w:lang w:val="en-US"/>
        </w:rPr>
        <w:t xml:space="preserve">the </w:t>
      </w:r>
      <w:r w:rsidR="00094EE5" w:rsidRPr="00004507">
        <w:rPr>
          <w:rFonts w:ascii="Arial" w:hAnsi="Arial" w:cs="Arial"/>
          <w:color w:val="000000" w:themeColor="text1"/>
          <w:lang w:val="en-US"/>
        </w:rPr>
        <w:t>controls</w:t>
      </w:r>
      <w:r w:rsidR="00EC1013" w:rsidRPr="00004507">
        <w:rPr>
          <w:rFonts w:ascii="Arial" w:hAnsi="Arial" w:cs="Arial"/>
          <w:color w:val="000000" w:themeColor="text1"/>
          <w:lang w:val="en-US"/>
        </w:rPr>
        <w:t xml:space="preserve"> (OR</w:t>
      </w:r>
      <w:r w:rsidR="00FF1BBC" w:rsidRPr="00004507">
        <w:rPr>
          <w:rFonts w:ascii="Arial" w:hAnsi="Arial" w:cs="Arial"/>
          <w:color w:val="000000" w:themeColor="text1"/>
          <w:lang w:val="en-US"/>
        </w:rPr>
        <w:t xml:space="preserve"> </w:t>
      </w:r>
      <w:r w:rsidR="00EC1013" w:rsidRPr="00004507">
        <w:rPr>
          <w:rFonts w:ascii="Arial" w:hAnsi="Arial" w:cs="Arial"/>
          <w:color w:val="000000" w:themeColor="text1"/>
          <w:lang w:val="en-US"/>
        </w:rPr>
        <w:t>=</w:t>
      </w:r>
      <w:r w:rsidR="00FF1BBC" w:rsidRPr="00004507">
        <w:rPr>
          <w:rFonts w:ascii="Arial" w:hAnsi="Arial" w:cs="Arial"/>
          <w:color w:val="000000" w:themeColor="text1"/>
          <w:lang w:val="en-US"/>
        </w:rPr>
        <w:t xml:space="preserve"> </w:t>
      </w:r>
      <w:r w:rsidR="00EC1013" w:rsidRPr="00004507">
        <w:rPr>
          <w:rFonts w:ascii="Arial" w:hAnsi="Arial" w:cs="Arial"/>
          <w:color w:val="000000" w:themeColor="text1"/>
          <w:lang w:val="en-US"/>
        </w:rPr>
        <w:t>3.222, P</w:t>
      </w:r>
      <w:r w:rsidR="00FF1BBC" w:rsidRPr="00004507">
        <w:rPr>
          <w:rFonts w:ascii="Arial" w:hAnsi="Arial" w:cs="Arial"/>
          <w:color w:val="000000" w:themeColor="text1"/>
          <w:lang w:val="en-US"/>
        </w:rPr>
        <w:t xml:space="preserve"> </w:t>
      </w:r>
      <w:r w:rsidR="00EC1013" w:rsidRPr="00004507">
        <w:rPr>
          <w:rFonts w:ascii="Arial" w:hAnsi="Arial" w:cs="Arial"/>
          <w:color w:val="000000" w:themeColor="text1"/>
          <w:lang w:val="en-US"/>
        </w:rPr>
        <w:t>=</w:t>
      </w:r>
      <w:r w:rsidR="00FF1BBC" w:rsidRPr="00004507">
        <w:rPr>
          <w:rFonts w:ascii="Arial" w:hAnsi="Arial" w:cs="Arial"/>
          <w:color w:val="000000" w:themeColor="text1"/>
          <w:lang w:val="en-US"/>
        </w:rPr>
        <w:t xml:space="preserve"> </w:t>
      </w:r>
      <w:r w:rsidR="00EC1013" w:rsidRPr="00004507">
        <w:rPr>
          <w:rFonts w:ascii="Arial" w:hAnsi="Arial" w:cs="Arial"/>
          <w:color w:val="000000" w:themeColor="text1"/>
          <w:lang w:val="en-US"/>
        </w:rPr>
        <w:t>0.035)</w:t>
      </w:r>
      <w:r w:rsidR="00094EE5" w:rsidRPr="00004507">
        <w:rPr>
          <w:rFonts w:ascii="Arial" w:hAnsi="Arial" w:cs="Arial"/>
          <w:color w:val="000000" w:themeColor="text1"/>
          <w:lang w:val="en-US"/>
        </w:rPr>
        <w:t xml:space="preserve">. </w:t>
      </w:r>
      <w:r w:rsidR="007233C4" w:rsidRPr="00004507">
        <w:rPr>
          <w:rFonts w:ascii="Arial" w:hAnsi="Arial" w:cs="Arial"/>
          <w:color w:val="000000" w:themeColor="text1"/>
          <w:lang w:val="en-US"/>
        </w:rPr>
        <w:t xml:space="preserve">Likewise, </w:t>
      </w:r>
      <w:r w:rsidR="00EC1013" w:rsidRPr="00004507">
        <w:rPr>
          <w:rFonts w:ascii="Arial" w:hAnsi="Arial" w:cs="Arial"/>
          <w:i/>
          <w:color w:val="000000" w:themeColor="text1"/>
          <w:lang w:val="en-US"/>
        </w:rPr>
        <w:t>QQLMTC</w:t>
      </w:r>
      <w:r w:rsidR="00EC1013" w:rsidRPr="00004507">
        <w:rPr>
          <w:rFonts w:ascii="Arial" w:hAnsi="Arial" w:cs="Arial"/>
          <w:color w:val="000000" w:themeColor="text1"/>
          <w:lang w:val="en-US"/>
        </w:rPr>
        <w:t xml:space="preserve"> </w:t>
      </w:r>
      <w:r w:rsidR="00DC5D23">
        <w:rPr>
          <w:rFonts w:ascii="Arial" w:hAnsi="Arial" w:cs="Arial"/>
          <w:color w:val="000000" w:themeColor="text1"/>
          <w:lang w:val="en-US"/>
        </w:rPr>
        <w:t>geno</w:t>
      </w:r>
      <w:r w:rsidR="00654D74">
        <w:rPr>
          <w:rFonts w:ascii="Arial" w:hAnsi="Arial" w:cs="Arial"/>
          <w:color w:val="000000" w:themeColor="text1"/>
          <w:lang w:val="en-US"/>
        </w:rPr>
        <w:t>t</w:t>
      </w:r>
      <w:r w:rsidR="00DC5D23">
        <w:rPr>
          <w:rFonts w:ascii="Arial" w:hAnsi="Arial" w:cs="Arial"/>
          <w:color w:val="000000" w:themeColor="text1"/>
          <w:lang w:val="en-US"/>
        </w:rPr>
        <w:t>ype</w:t>
      </w:r>
      <w:r w:rsidR="00DC5D23" w:rsidRPr="00004507">
        <w:rPr>
          <w:rFonts w:ascii="Arial" w:hAnsi="Arial" w:cs="Arial"/>
          <w:color w:val="000000" w:themeColor="text1"/>
          <w:lang w:val="en-US"/>
        </w:rPr>
        <w:t xml:space="preserve"> </w:t>
      </w:r>
      <w:r w:rsidR="00EC1013" w:rsidRPr="00004507">
        <w:rPr>
          <w:rFonts w:ascii="Arial" w:hAnsi="Arial" w:cs="Arial"/>
          <w:color w:val="000000" w:themeColor="text1"/>
          <w:lang w:val="en-US"/>
        </w:rPr>
        <w:t xml:space="preserve">was more represented in the PEG patients </w:t>
      </w:r>
      <w:r w:rsidR="007233C4" w:rsidRPr="00004507">
        <w:rPr>
          <w:rFonts w:ascii="Arial" w:hAnsi="Arial" w:cs="Arial"/>
          <w:color w:val="000000" w:themeColor="text1"/>
          <w:lang w:val="en-US"/>
        </w:rPr>
        <w:t>than</w:t>
      </w:r>
      <w:r w:rsidR="00EC1013" w:rsidRPr="00004507">
        <w:rPr>
          <w:rFonts w:ascii="Arial" w:hAnsi="Arial" w:cs="Arial"/>
          <w:color w:val="000000" w:themeColor="text1"/>
          <w:lang w:val="en-US"/>
        </w:rPr>
        <w:t xml:space="preserve"> the </w:t>
      </w:r>
      <w:r w:rsidR="000D5573" w:rsidRPr="00004507">
        <w:rPr>
          <w:rFonts w:ascii="Arial" w:hAnsi="Arial" w:cs="Arial"/>
          <w:color w:val="000000" w:themeColor="text1"/>
          <w:lang w:val="en-US"/>
        </w:rPr>
        <w:t>PEX group (OR</w:t>
      </w:r>
      <w:r w:rsidR="007233C4" w:rsidRPr="00004507">
        <w:rPr>
          <w:rFonts w:ascii="Arial" w:hAnsi="Arial" w:cs="Arial"/>
          <w:color w:val="000000" w:themeColor="text1"/>
          <w:lang w:val="en-US"/>
        </w:rPr>
        <w:t xml:space="preserve"> </w:t>
      </w:r>
      <w:r w:rsidR="000D5573" w:rsidRPr="00004507">
        <w:rPr>
          <w:rFonts w:ascii="Arial" w:hAnsi="Arial" w:cs="Arial"/>
          <w:color w:val="000000" w:themeColor="text1"/>
          <w:lang w:val="en-US"/>
        </w:rPr>
        <w:t>=</w:t>
      </w:r>
      <w:r w:rsidR="007233C4" w:rsidRPr="00004507">
        <w:rPr>
          <w:rFonts w:ascii="Arial" w:hAnsi="Arial" w:cs="Arial"/>
          <w:color w:val="000000" w:themeColor="text1"/>
          <w:lang w:val="en-US"/>
        </w:rPr>
        <w:t xml:space="preserve"> </w:t>
      </w:r>
      <w:r w:rsidR="000D5573" w:rsidRPr="00004507">
        <w:rPr>
          <w:rFonts w:ascii="Arial" w:hAnsi="Arial" w:cs="Arial"/>
          <w:color w:val="000000" w:themeColor="text1"/>
          <w:lang w:val="en-US"/>
        </w:rPr>
        <w:t>2.037, P</w:t>
      </w:r>
      <w:r w:rsidR="007233C4" w:rsidRPr="00004507">
        <w:rPr>
          <w:rFonts w:ascii="Arial" w:hAnsi="Arial" w:cs="Arial"/>
          <w:color w:val="000000" w:themeColor="text1"/>
          <w:lang w:val="en-US"/>
        </w:rPr>
        <w:t xml:space="preserve"> </w:t>
      </w:r>
      <w:r w:rsidR="000D5573" w:rsidRPr="00004507">
        <w:rPr>
          <w:rFonts w:ascii="Arial" w:hAnsi="Arial" w:cs="Arial"/>
          <w:color w:val="000000" w:themeColor="text1"/>
          <w:lang w:val="en-US"/>
        </w:rPr>
        <w:t>=</w:t>
      </w:r>
      <w:r w:rsidR="007233C4" w:rsidRPr="00004507">
        <w:rPr>
          <w:rFonts w:ascii="Arial" w:hAnsi="Arial" w:cs="Arial"/>
          <w:color w:val="000000" w:themeColor="text1"/>
          <w:lang w:val="en-US"/>
        </w:rPr>
        <w:t xml:space="preserve"> </w:t>
      </w:r>
      <w:r w:rsidR="000D5573" w:rsidRPr="00004507">
        <w:rPr>
          <w:rFonts w:ascii="Arial" w:hAnsi="Arial" w:cs="Arial"/>
          <w:color w:val="000000" w:themeColor="text1"/>
          <w:lang w:val="en-US"/>
        </w:rPr>
        <w:t>0.041</w:t>
      </w:r>
      <w:r w:rsidR="00EC1013" w:rsidRPr="00004507">
        <w:rPr>
          <w:rFonts w:ascii="Arial" w:hAnsi="Arial" w:cs="Arial"/>
          <w:color w:val="000000" w:themeColor="text1"/>
          <w:lang w:val="en-US"/>
        </w:rPr>
        <w:t>).</w:t>
      </w:r>
      <w:r w:rsidR="006A3C76" w:rsidRPr="00004507">
        <w:rPr>
          <w:rFonts w:ascii="Arial" w:hAnsi="Arial" w:cs="Arial"/>
          <w:color w:val="000000" w:themeColor="text1"/>
          <w:lang w:val="en-US"/>
        </w:rPr>
        <w:t xml:space="preserve"> The </w:t>
      </w:r>
      <w:r w:rsidR="006A3C76" w:rsidRPr="00004507">
        <w:rPr>
          <w:rFonts w:ascii="Arial" w:hAnsi="Arial" w:cs="Arial"/>
          <w:color w:val="000000" w:themeColor="text1"/>
          <w:lang w:val="en-US"/>
        </w:rPr>
        <w:lastRenderedPageBreak/>
        <w:t xml:space="preserve">prevalence of </w:t>
      </w:r>
      <w:r w:rsidR="004B62E7" w:rsidRPr="00004507">
        <w:rPr>
          <w:rFonts w:ascii="Arial" w:hAnsi="Arial" w:cs="Arial"/>
          <w:color w:val="000000" w:themeColor="text1"/>
          <w:lang w:val="en-US"/>
        </w:rPr>
        <w:t xml:space="preserve">the </w:t>
      </w:r>
      <w:r w:rsidR="00E6636E" w:rsidRPr="00004507">
        <w:rPr>
          <w:rFonts w:ascii="Arial" w:hAnsi="Arial" w:cs="Arial"/>
          <w:i/>
          <w:color w:val="000000" w:themeColor="text1"/>
          <w:lang w:val="en-US"/>
        </w:rPr>
        <w:t>QRLLTC</w:t>
      </w:r>
      <w:r w:rsidR="00E6636E" w:rsidRPr="00004507">
        <w:rPr>
          <w:rFonts w:ascii="Arial" w:hAnsi="Arial" w:cs="Arial"/>
          <w:color w:val="000000" w:themeColor="text1"/>
          <w:lang w:val="en-US"/>
        </w:rPr>
        <w:t xml:space="preserve"> </w:t>
      </w:r>
      <w:r w:rsidR="00DC5D23">
        <w:rPr>
          <w:rFonts w:ascii="Arial" w:hAnsi="Arial" w:cs="Arial"/>
          <w:color w:val="000000" w:themeColor="text1"/>
          <w:lang w:val="en-US"/>
        </w:rPr>
        <w:t>genotype</w:t>
      </w:r>
      <w:r w:rsidR="00E6636E" w:rsidRPr="00004507">
        <w:rPr>
          <w:rFonts w:ascii="Arial" w:hAnsi="Arial" w:cs="Arial"/>
          <w:color w:val="000000" w:themeColor="text1"/>
          <w:lang w:val="en-US"/>
        </w:rPr>
        <w:t xml:space="preserve"> was</w:t>
      </w:r>
      <w:r w:rsidR="001A280B" w:rsidRPr="00004507">
        <w:rPr>
          <w:rFonts w:ascii="Arial" w:hAnsi="Arial" w:cs="Arial"/>
          <w:color w:val="000000" w:themeColor="text1"/>
          <w:lang w:val="en-US"/>
        </w:rPr>
        <w:t xml:space="preserve"> </w:t>
      </w:r>
      <w:r w:rsidR="004B62E7" w:rsidRPr="00004507">
        <w:rPr>
          <w:rFonts w:ascii="Arial" w:hAnsi="Arial" w:cs="Arial"/>
          <w:color w:val="000000" w:themeColor="text1"/>
          <w:lang w:val="en-US"/>
        </w:rPr>
        <w:t xml:space="preserve">lower </w:t>
      </w:r>
      <w:r w:rsidR="001A280B" w:rsidRPr="00004507">
        <w:rPr>
          <w:rFonts w:ascii="Arial" w:hAnsi="Arial" w:cs="Arial"/>
          <w:color w:val="000000" w:themeColor="text1"/>
          <w:lang w:val="en-US"/>
        </w:rPr>
        <w:t xml:space="preserve">in </w:t>
      </w:r>
      <w:r w:rsidR="00F14EC7" w:rsidRPr="00004507">
        <w:rPr>
          <w:rFonts w:ascii="Arial" w:hAnsi="Arial" w:cs="Arial"/>
          <w:color w:val="000000" w:themeColor="text1"/>
          <w:lang w:val="en-US"/>
        </w:rPr>
        <w:t xml:space="preserve">the </w:t>
      </w:r>
      <w:r w:rsidR="001A280B" w:rsidRPr="00004507">
        <w:rPr>
          <w:rFonts w:ascii="Arial" w:hAnsi="Arial" w:cs="Arial"/>
          <w:color w:val="000000" w:themeColor="text1"/>
          <w:lang w:val="en-US"/>
        </w:rPr>
        <w:t>PEX patients</w:t>
      </w:r>
      <w:r w:rsidR="00E6636E" w:rsidRPr="00004507">
        <w:rPr>
          <w:rFonts w:ascii="Arial" w:hAnsi="Arial" w:cs="Arial"/>
          <w:color w:val="000000" w:themeColor="text1"/>
          <w:lang w:val="en-US"/>
        </w:rPr>
        <w:t xml:space="preserve"> (OR</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0.469, P</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0.029)</w:t>
      </w:r>
      <w:r w:rsidR="001A280B"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and PEG patients (OR</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0.396, P</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w:t>
      </w:r>
      <w:r w:rsidR="004B62E7" w:rsidRPr="00004507">
        <w:rPr>
          <w:rFonts w:ascii="Arial" w:hAnsi="Arial" w:cs="Arial"/>
          <w:color w:val="000000" w:themeColor="text1"/>
          <w:lang w:val="en-US"/>
        </w:rPr>
        <w:t xml:space="preserve"> </w:t>
      </w:r>
      <w:r w:rsidR="00E6636E" w:rsidRPr="00004507">
        <w:rPr>
          <w:rFonts w:ascii="Arial" w:hAnsi="Arial" w:cs="Arial"/>
          <w:color w:val="000000" w:themeColor="text1"/>
          <w:lang w:val="en-US"/>
        </w:rPr>
        <w:t xml:space="preserve">0.010) </w:t>
      </w:r>
      <w:r w:rsidR="001A280B" w:rsidRPr="00004507">
        <w:rPr>
          <w:rFonts w:ascii="Arial" w:hAnsi="Arial" w:cs="Arial"/>
          <w:color w:val="000000" w:themeColor="text1"/>
          <w:lang w:val="en-US"/>
        </w:rPr>
        <w:t xml:space="preserve">compared with </w:t>
      </w:r>
      <w:r w:rsidR="00F14EC7" w:rsidRPr="00004507">
        <w:rPr>
          <w:rFonts w:ascii="Arial" w:hAnsi="Arial" w:cs="Arial"/>
          <w:color w:val="000000" w:themeColor="text1"/>
          <w:lang w:val="en-US"/>
        </w:rPr>
        <w:t xml:space="preserve">the </w:t>
      </w:r>
      <w:r w:rsidR="001A280B" w:rsidRPr="00004507">
        <w:rPr>
          <w:rFonts w:ascii="Arial" w:hAnsi="Arial" w:cs="Arial"/>
          <w:color w:val="000000" w:themeColor="text1"/>
          <w:lang w:val="en-US"/>
        </w:rPr>
        <w:t xml:space="preserve">controls. </w:t>
      </w:r>
      <w:r w:rsidR="00654D74">
        <w:rPr>
          <w:rFonts w:ascii="Arial" w:hAnsi="Arial" w:cs="Arial"/>
          <w:color w:val="000000" w:themeColor="text1"/>
          <w:lang w:val="en-US"/>
        </w:rPr>
        <w:t>However, a</w:t>
      </w:r>
      <w:r w:rsidR="00084619">
        <w:rPr>
          <w:rFonts w:ascii="Arial" w:hAnsi="Arial" w:cs="Arial"/>
          <w:szCs w:val="24"/>
          <w:lang w:val="en-US"/>
        </w:rPr>
        <w:t>fter</w:t>
      </w:r>
      <w:r w:rsidR="00401673" w:rsidRPr="00401673">
        <w:rPr>
          <w:rFonts w:ascii="Arial" w:hAnsi="Arial" w:cs="Arial"/>
          <w:szCs w:val="24"/>
          <w:lang w:val="en-US"/>
        </w:rPr>
        <w:t xml:space="preserve"> multiple testing </w:t>
      </w:r>
      <w:proofErr w:type="gramStart"/>
      <w:r w:rsidR="00401673" w:rsidRPr="00401673">
        <w:rPr>
          <w:rFonts w:ascii="Arial" w:hAnsi="Arial" w:cs="Arial"/>
          <w:szCs w:val="24"/>
          <w:lang w:val="en-US"/>
        </w:rPr>
        <w:t>correction</w:t>
      </w:r>
      <w:proofErr w:type="gramEnd"/>
      <w:r w:rsidR="00401673" w:rsidRPr="00401673">
        <w:rPr>
          <w:rFonts w:ascii="Arial" w:hAnsi="Arial" w:cs="Arial"/>
          <w:szCs w:val="24"/>
          <w:lang w:val="en-US"/>
        </w:rPr>
        <w:t xml:space="preserve">, </w:t>
      </w:r>
      <w:r w:rsidR="00DC5D23">
        <w:rPr>
          <w:rFonts w:ascii="Arial" w:hAnsi="Arial" w:cs="Arial"/>
          <w:szCs w:val="24"/>
          <w:lang w:val="en-US"/>
        </w:rPr>
        <w:t xml:space="preserve">only the distribution of </w:t>
      </w:r>
      <w:r w:rsidR="00DC5D23" w:rsidRPr="00004507">
        <w:rPr>
          <w:rFonts w:ascii="Arial" w:hAnsi="Arial" w:cs="Arial"/>
          <w:i/>
          <w:color w:val="000000" w:themeColor="text1"/>
          <w:lang w:val="en-US"/>
        </w:rPr>
        <w:t>QRLLTC</w:t>
      </w:r>
      <w:r w:rsidR="00DC5D23" w:rsidRPr="00004507">
        <w:rPr>
          <w:rFonts w:ascii="Arial" w:hAnsi="Arial" w:cs="Arial"/>
          <w:color w:val="000000" w:themeColor="text1"/>
          <w:lang w:val="en-US"/>
        </w:rPr>
        <w:t xml:space="preserve"> </w:t>
      </w:r>
      <w:r w:rsidR="00DC5D23">
        <w:rPr>
          <w:rFonts w:ascii="Arial" w:hAnsi="Arial" w:cs="Arial"/>
          <w:color w:val="000000" w:themeColor="text1"/>
          <w:lang w:val="en-US"/>
        </w:rPr>
        <w:t xml:space="preserve">genotype between PEG patients and controls </w:t>
      </w:r>
      <w:r w:rsidR="00401673" w:rsidRPr="00401673">
        <w:rPr>
          <w:rFonts w:ascii="Arial" w:hAnsi="Arial" w:cs="Arial"/>
          <w:szCs w:val="24"/>
          <w:lang w:val="en-US"/>
        </w:rPr>
        <w:t xml:space="preserve">reached statistical significance. </w:t>
      </w:r>
    </w:p>
    <w:p w14:paraId="19BB97A2" w14:textId="7F81CB1D" w:rsidR="00BF27A7" w:rsidRPr="00004507" w:rsidRDefault="00CB255A" w:rsidP="00C15EA2">
      <w:pPr>
        <w:spacing w:after="240" w:line="276" w:lineRule="auto"/>
        <w:jc w:val="both"/>
        <w:rPr>
          <w:rFonts w:ascii="Arial" w:hAnsi="Arial" w:cs="Arial"/>
          <w:color w:val="000000" w:themeColor="text1"/>
          <w:lang w:val="en-US"/>
        </w:rPr>
      </w:pPr>
      <w:r w:rsidRPr="00004507">
        <w:rPr>
          <w:rFonts w:ascii="Arial" w:hAnsi="Arial" w:cs="Arial"/>
          <w:color w:val="000000" w:themeColor="text1"/>
          <w:lang w:val="en-US"/>
        </w:rPr>
        <w:t xml:space="preserve">Stratification </w:t>
      </w:r>
      <w:r w:rsidR="00227DCB" w:rsidRPr="00004507">
        <w:rPr>
          <w:rFonts w:ascii="Arial" w:hAnsi="Arial" w:cs="Arial"/>
          <w:color w:val="000000" w:themeColor="text1"/>
          <w:lang w:val="en-US"/>
        </w:rPr>
        <w:t xml:space="preserve">analysis was carried out to reveal any </w:t>
      </w:r>
      <w:r w:rsidR="00146EB2" w:rsidRPr="00004507">
        <w:rPr>
          <w:rFonts w:ascii="Arial" w:hAnsi="Arial" w:cs="Arial"/>
          <w:color w:val="000000" w:themeColor="text1"/>
          <w:lang w:val="en-US"/>
        </w:rPr>
        <w:t>differences</w:t>
      </w:r>
      <w:r w:rsidR="00227DCB" w:rsidRPr="00004507">
        <w:rPr>
          <w:rFonts w:ascii="Arial" w:hAnsi="Arial" w:cs="Arial"/>
          <w:color w:val="000000" w:themeColor="text1"/>
          <w:lang w:val="en-US"/>
        </w:rPr>
        <w:t xml:space="preserve"> in visual clinical parameters </w:t>
      </w:r>
      <w:r w:rsidR="00146EB2" w:rsidRPr="00004507">
        <w:rPr>
          <w:rFonts w:ascii="Arial" w:hAnsi="Arial" w:cs="Arial"/>
          <w:color w:val="000000" w:themeColor="text1"/>
          <w:lang w:val="en-US"/>
        </w:rPr>
        <w:t>according to</w:t>
      </w:r>
      <w:r w:rsidR="00227DCB" w:rsidRPr="00004507">
        <w:rPr>
          <w:rFonts w:ascii="Arial" w:hAnsi="Arial" w:cs="Arial"/>
          <w:color w:val="000000" w:themeColor="text1"/>
          <w:lang w:val="en-US"/>
        </w:rPr>
        <w:t xml:space="preserve"> the presence of </w:t>
      </w:r>
      <w:r w:rsidR="00D22B38" w:rsidRPr="00004507">
        <w:rPr>
          <w:rFonts w:ascii="Arial" w:hAnsi="Arial" w:cs="Arial"/>
          <w:color w:val="000000" w:themeColor="text1"/>
          <w:lang w:val="en-US"/>
        </w:rPr>
        <w:t xml:space="preserve">the </w:t>
      </w:r>
      <w:r w:rsidR="00227DCB" w:rsidRPr="00004507">
        <w:rPr>
          <w:rFonts w:ascii="Arial" w:hAnsi="Arial" w:cs="Arial"/>
          <w:color w:val="000000" w:themeColor="text1"/>
          <w:lang w:val="en-US"/>
        </w:rPr>
        <w:t xml:space="preserve">minor </w:t>
      </w:r>
      <w:r w:rsidR="00227DCB" w:rsidRPr="00004507">
        <w:rPr>
          <w:rFonts w:ascii="Arial" w:hAnsi="Arial" w:cs="Arial"/>
          <w:i/>
          <w:color w:val="000000" w:themeColor="text1"/>
          <w:lang w:val="en-US"/>
        </w:rPr>
        <w:t>PON1</w:t>
      </w:r>
      <w:r w:rsidR="00227DCB" w:rsidRPr="00004507">
        <w:rPr>
          <w:rFonts w:ascii="Arial" w:hAnsi="Arial" w:cs="Arial"/>
          <w:color w:val="000000" w:themeColor="text1"/>
          <w:lang w:val="en-US"/>
        </w:rPr>
        <w:t xml:space="preserve"> </w:t>
      </w:r>
      <w:r w:rsidR="00146EB2" w:rsidRPr="00004507">
        <w:rPr>
          <w:rFonts w:ascii="Arial" w:hAnsi="Arial" w:cs="Arial"/>
          <w:color w:val="000000" w:themeColor="text1"/>
          <w:lang w:val="en-US"/>
        </w:rPr>
        <w:t xml:space="preserve">alleles </w:t>
      </w:r>
      <w:r w:rsidR="00227DCB" w:rsidRPr="00004507">
        <w:rPr>
          <w:rFonts w:ascii="Arial" w:hAnsi="Arial" w:cs="Arial"/>
          <w:color w:val="000000" w:themeColor="text1"/>
          <w:lang w:val="en-US"/>
        </w:rPr>
        <w:t xml:space="preserve">(Tables </w:t>
      </w:r>
      <w:r w:rsidR="00C0653C">
        <w:rPr>
          <w:rFonts w:ascii="Arial" w:hAnsi="Arial" w:cs="Arial"/>
          <w:color w:val="000000" w:themeColor="text1"/>
          <w:lang w:val="en-US"/>
        </w:rPr>
        <w:t xml:space="preserve">5, </w:t>
      </w:r>
      <w:r w:rsidR="00227DCB" w:rsidRPr="00004507">
        <w:rPr>
          <w:rFonts w:ascii="Arial" w:hAnsi="Arial" w:cs="Arial"/>
          <w:color w:val="000000" w:themeColor="text1"/>
          <w:lang w:val="en-US"/>
        </w:rPr>
        <w:t>6,</w:t>
      </w:r>
      <w:r w:rsidR="00BC7ADB" w:rsidRPr="00004507">
        <w:rPr>
          <w:rFonts w:ascii="Arial" w:hAnsi="Arial" w:cs="Arial"/>
          <w:color w:val="000000" w:themeColor="text1"/>
          <w:lang w:val="en-US"/>
        </w:rPr>
        <w:t xml:space="preserve"> </w:t>
      </w:r>
      <w:r w:rsidR="00C0653C">
        <w:rPr>
          <w:rFonts w:ascii="Arial" w:hAnsi="Arial" w:cs="Arial"/>
          <w:color w:val="000000" w:themeColor="text1"/>
          <w:lang w:val="en-US"/>
        </w:rPr>
        <w:t xml:space="preserve">and </w:t>
      </w:r>
      <w:r w:rsidR="00227DCB" w:rsidRPr="00004507">
        <w:rPr>
          <w:rFonts w:ascii="Arial" w:hAnsi="Arial" w:cs="Arial"/>
          <w:color w:val="000000" w:themeColor="text1"/>
          <w:lang w:val="en-US"/>
        </w:rPr>
        <w:t xml:space="preserve">7). </w:t>
      </w:r>
      <w:r w:rsidR="00197703">
        <w:rPr>
          <w:rFonts w:ascii="Arial" w:hAnsi="Arial" w:cs="Arial"/>
          <w:color w:val="000000" w:themeColor="text1"/>
          <w:lang w:val="en-US"/>
        </w:rPr>
        <w:t xml:space="preserve">Even though </w:t>
      </w:r>
      <w:r w:rsidR="00146EB2" w:rsidRPr="00004507">
        <w:rPr>
          <w:rFonts w:ascii="Arial" w:hAnsi="Arial" w:cs="Arial"/>
          <w:color w:val="000000" w:themeColor="text1"/>
          <w:lang w:val="en-US"/>
        </w:rPr>
        <w:t>PSD wa</w:t>
      </w:r>
      <w:r w:rsidR="00227DCB" w:rsidRPr="00004507">
        <w:rPr>
          <w:rFonts w:ascii="Arial" w:hAnsi="Arial" w:cs="Arial"/>
          <w:color w:val="000000" w:themeColor="text1"/>
          <w:lang w:val="en-US"/>
        </w:rPr>
        <w:t xml:space="preserve">s higher in PEX </w:t>
      </w:r>
      <w:r w:rsidR="00891284" w:rsidRPr="00004507">
        <w:rPr>
          <w:rFonts w:ascii="Arial" w:hAnsi="Arial" w:cs="Arial"/>
          <w:color w:val="000000" w:themeColor="text1"/>
          <w:lang w:val="en-US"/>
        </w:rPr>
        <w:t xml:space="preserve">patients </w:t>
      </w:r>
      <w:r w:rsidR="00146EB2" w:rsidRPr="00004507">
        <w:rPr>
          <w:rFonts w:ascii="Arial" w:hAnsi="Arial" w:cs="Arial"/>
          <w:color w:val="000000" w:themeColor="text1"/>
          <w:lang w:val="en-US"/>
        </w:rPr>
        <w:t>with</w:t>
      </w:r>
      <w:r w:rsidR="00054321" w:rsidRPr="00004507">
        <w:rPr>
          <w:rFonts w:ascii="Arial" w:hAnsi="Arial" w:cs="Arial"/>
          <w:color w:val="000000" w:themeColor="text1"/>
          <w:lang w:val="en-US"/>
        </w:rPr>
        <w:t xml:space="preserve"> at least one </w:t>
      </w:r>
      <w:r w:rsidR="00054321" w:rsidRPr="00004507">
        <w:rPr>
          <w:rFonts w:ascii="Arial" w:hAnsi="Arial" w:cs="Arial"/>
          <w:i/>
          <w:color w:val="000000" w:themeColor="text1"/>
          <w:lang w:val="en-US"/>
        </w:rPr>
        <w:t>−</w:t>
      </w:r>
      <w:r w:rsidR="00891284" w:rsidRPr="00004507">
        <w:rPr>
          <w:rFonts w:ascii="Arial" w:hAnsi="Arial" w:cs="Arial"/>
          <w:i/>
          <w:color w:val="000000" w:themeColor="text1"/>
          <w:lang w:val="en-US"/>
        </w:rPr>
        <w:t>107C</w:t>
      </w:r>
      <w:r w:rsidR="00146EB2" w:rsidRPr="00004507">
        <w:rPr>
          <w:rFonts w:ascii="Arial" w:hAnsi="Arial" w:cs="Arial"/>
          <w:color w:val="000000" w:themeColor="text1"/>
          <w:lang w:val="en-US"/>
        </w:rPr>
        <w:t xml:space="preserve"> allele</w:t>
      </w:r>
      <w:r w:rsidR="00891284" w:rsidRPr="00004507">
        <w:rPr>
          <w:rFonts w:ascii="Arial" w:hAnsi="Arial" w:cs="Arial"/>
          <w:color w:val="000000" w:themeColor="text1"/>
          <w:lang w:val="en-US"/>
        </w:rPr>
        <w:t xml:space="preserve"> compared with PEX patients </w:t>
      </w:r>
      <w:r w:rsidR="00146EB2" w:rsidRPr="00004507">
        <w:rPr>
          <w:rFonts w:ascii="Arial" w:hAnsi="Arial" w:cs="Arial"/>
          <w:color w:val="000000" w:themeColor="text1"/>
          <w:lang w:val="en-US"/>
        </w:rPr>
        <w:t xml:space="preserve">with </w:t>
      </w:r>
      <w:r w:rsidR="00054321" w:rsidRPr="00004507">
        <w:rPr>
          <w:rFonts w:ascii="Arial" w:hAnsi="Arial" w:cs="Arial"/>
          <w:color w:val="000000" w:themeColor="text1"/>
          <w:lang w:val="en-US"/>
        </w:rPr>
        <w:t>the wild type genotype (</w:t>
      </w:r>
      <w:r w:rsidR="00054321" w:rsidRPr="00004507">
        <w:rPr>
          <w:rFonts w:ascii="Arial" w:hAnsi="Arial" w:cs="Arial"/>
          <w:i/>
          <w:color w:val="000000" w:themeColor="text1"/>
          <w:lang w:val="en-US"/>
        </w:rPr>
        <w:t>−</w:t>
      </w:r>
      <w:r w:rsidR="00891284" w:rsidRPr="00004507">
        <w:rPr>
          <w:rFonts w:ascii="Arial" w:hAnsi="Arial" w:cs="Arial"/>
          <w:i/>
          <w:color w:val="000000" w:themeColor="text1"/>
          <w:lang w:val="en-US"/>
        </w:rPr>
        <w:t>107TT</w:t>
      </w:r>
      <w:r w:rsidR="00891284" w:rsidRPr="00004507">
        <w:rPr>
          <w:rFonts w:ascii="Arial" w:hAnsi="Arial" w:cs="Arial"/>
          <w:color w:val="000000" w:themeColor="text1"/>
          <w:lang w:val="en-US"/>
        </w:rPr>
        <w:t>)</w:t>
      </w:r>
      <w:r w:rsidR="00BF27A7" w:rsidRPr="00004507">
        <w:rPr>
          <w:rFonts w:ascii="Arial" w:hAnsi="Arial" w:cs="Arial"/>
          <w:color w:val="000000" w:themeColor="text1"/>
          <w:lang w:val="en-US"/>
        </w:rPr>
        <w:t xml:space="preserve"> (P</w:t>
      </w:r>
      <w:r w:rsidR="00146EB2" w:rsidRPr="00004507">
        <w:rPr>
          <w:rFonts w:ascii="Arial" w:hAnsi="Arial" w:cs="Arial"/>
          <w:color w:val="000000" w:themeColor="text1"/>
          <w:lang w:val="en-US"/>
        </w:rPr>
        <w:t xml:space="preserve"> </w:t>
      </w:r>
      <w:r w:rsidR="00BF27A7" w:rsidRPr="00004507">
        <w:rPr>
          <w:rFonts w:ascii="Arial" w:hAnsi="Arial" w:cs="Arial"/>
          <w:color w:val="000000" w:themeColor="text1"/>
          <w:lang w:val="en-US"/>
        </w:rPr>
        <w:t>=</w:t>
      </w:r>
      <w:r w:rsidR="00146EB2" w:rsidRPr="00004507">
        <w:rPr>
          <w:rFonts w:ascii="Arial" w:hAnsi="Arial" w:cs="Arial"/>
          <w:color w:val="000000" w:themeColor="text1"/>
          <w:lang w:val="en-US"/>
        </w:rPr>
        <w:t xml:space="preserve"> </w:t>
      </w:r>
      <w:r w:rsidR="00BF27A7" w:rsidRPr="00004507">
        <w:rPr>
          <w:rFonts w:ascii="Arial" w:hAnsi="Arial" w:cs="Arial"/>
          <w:color w:val="000000" w:themeColor="text1"/>
          <w:lang w:val="en-US"/>
        </w:rPr>
        <w:t>0.038)</w:t>
      </w:r>
      <w:r w:rsidR="00197703">
        <w:rPr>
          <w:rFonts w:ascii="Arial" w:hAnsi="Arial" w:cs="Arial"/>
          <w:color w:val="000000" w:themeColor="text1"/>
          <w:lang w:val="en-US"/>
        </w:rPr>
        <w:t xml:space="preserve">, and </w:t>
      </w:r>
      <w:r w:rsidR="00944223" w:rsidRPr="00004507">
        <w:rPr>
          <w:rFonts w:ascii="Arial" w:hAnsi="Arial" w:cs="Arial"/>
          <w:color w:val="000000" w:themeColor="text1"/>
          <w:lang w:val="en-US"/>
        </w:rPr>
        <w:t xml:space="preserve">having at least one </w:t>
      </w:r>
      <w:r w:rsidR="00944223" w:rsidRPr="00004507">
        <w:rPr>
          <w:rFonts w:ascii="Arial" w:hAnsi="Arial" w:cs="Arial"/>
          <w:i/>
          <w:color w:val="000000" w:themeColor="text1"/>
          <w:lang w:val="en-US"/>
        </w:rPr>
        <w:t>55M</w:t>
      </w:r>
      <w:r w:rsidR="00944223" w:rsidRPr="00004507">
        <w:rPr>
          <w:rFonts w:ascii="Arial" w:hAnsi="Arial" w:cs="Arial"/>
          <w:color w:val="000000" w:themeColor="text1"/>
          <w:lang w:val="en-US"/>
        </w:rPr>
        <w:t xml:space="preserve"> allele decreased the IOP of </w:t>
      </w:r>
      <w:r w:rsidR="00146EB2" w:rsidRPr="00004507">
        <w:rPr>
          <w:rFonts w:ascii="Arial" w:hAnsi="Arial" w:cs="Arial"/>
          <w:color w:val="000000" w:themeColor="text1"/>
          <w:lang w:val="en-US"/>
        </w:rPr>
        <w:t xml:space="preserve">the </w:t>
      </w:r>
      <w:r w:rsidR="00944223" w:rsidRPr="00004507">
        <w:rPr>
          <w:rFonts w:ascii="Arial" w:hAnsi="Arial" w:cs="Arial"/>
          <w:color w:val="000000" w:themeColor="text1"/>
          <w:lang w:val="en-US"/>
        </w:rPr>
        <w:t>controls (P</w:t>
      </w:r>
      <w:r w:rsidR="00146EB2" w:rsidRPr="00004507">
        <w:rPr>
          <w:rFonts w:ascii="Arial" w:hAnsi="Arial" w:cs="Arial"/>
          <w:color w:val="000000" w:themeColor="text1"/>
          <w:lang w:val="en-US"/>
        </w:rPr>
        <w:t xml:space="preserve"> </w:t>
      </w:r>
      <w:r w:rsidR="00944223" w:rsidRPr="00004507">
        <w:rPr>
          <w:rFonts w:ascii="Arial" w:hAnsi="Arial" w:cs="Arial"/>
          <w:color w:val="000000" w:themeColor="text1"/>
          <w:lang w:val="en-US"/>
        </w:rPr>
        <w:t>=</w:t>
      </w:r>
      <w:r w:rsidR="00146EB2" w:rsidRPr="00004507">
        <w:rPr>
          <w:rFonts w:ascii="Arial" w:hAnsi="Arial" w:cs="Arial"/>
          <w:color w:val="000000" w:themeColor="text1"/>
          <w:lang w:val="en-US"/>
        </w:rPr>
        <w:t xml:space="preserve"> </w:t>
      </w:r>
      <w:r w:rsidR="00944223" w:rsidRPr="00004507">
        <w:rPr>
          <w:rFonts w:ascii="Arial" w:hAnsi="Arial" w:cs="Arial"/>
          <w:color w:val="000000" w:themeColor="text1"/>
          <w:lang w:val="en-US"/>
        </w:rPr>
        <w:t>0.041)</w:t>
      </w:r>
      <w:r w:rsidR="00197703">
        <w:rPr>
          <w:rFonts w:ascii="Arial" w:hAnsi="Arial" w:cs="Arial"/>
          <w:color w:val="000000" w:themeColor="text1"/>
          <w:lang w:val="en-US"/>
        </w:rPr>
        <w:t xml:space="preserve">, none of these P values reached statistical significance after correction for multiple testing by </w:t>
      </w:r>
      <w:proofErr w:type="spellStart"/>
      <w:r w:rsidR="00197703">
        <w:rPr>
          <w:rFonts w:ascii="Arial" w:hAnsi="Arial" w:cs="Arial"/>
          <w:color w:val="000000" w:themeColor="text1"/>
          <w:lang w:val="en-US"/>
        </w:rPr>
        <w:t>Bonferroni</w:t>
      </w:r>
      <w:proofErr w:type="spellEnd"/>
      <w:r w:rsidR="00197703">
        <w:rPr>
          <w:rFonts w:ascii="Arial" w:hAnsi="Arial" w:cs="Arial"/>
          <w:color w:val="000000" w:themeColor="text1"/>
          <w:lang w:val="en-US"/>
        </w:rPr>
        <w:t xml:space="preserve">. </w:t>
      </w:r>
      <w:r w:rsidR="00BF27A7" w:rsidRPr="00004507">
        <w:rPr>
          <w:rFonts w:ascii="Arial" w:hAnsi="Arial" w:cs="Arial"/>
          <w:i/>
          <w:color w:val="000000" w:themeColor="text1"/>
          <w:lang w:val="en-US"/>
        </w:rPr>
        <w:t>PON1 192Q/R</w:t>
      </w:r>
      <w:r w:rsidR="00BF27A7" w:rsidRPr="00004507">
        <w:rPr>
          <w:rFonts w:ascii="Arial" w:hAnsi="Arial" w:cs="Arial"/>
          <w:color w:val="000000" w:themeColor="text1"/>
          <w:lang w:val="en-US"/>
        </w:rPr>
        <w:t xml:space="preserve"> genotypes </w:t>
      </w:r>
      <w:r w:rsidR="00F804CD" w:rsidRPr="00004507">
        <w:rPr>
          <w:rFonts w:ascii="Arial" w:hAnsi="Arial" w:cs="Arial"/>
          <w:color w:val="000000" w:themeColor="text1"/>
          <w:lang w:val="en-US"/>
        </w:rPr>
        <w:t xml:space="preserve">had no </w:t>
      </w:r>
      <w:r w:rsidR="00BF27A7" w:rsidRPr="00004507">
        <w:rPr>
          <w:rFonts w:ascii="Arial" w:hAnsi="Arial" w:cs="Arial"/>
          <w:color w:val="000000" w:themeColor="text1"/>
          <w:lang w:val="en-US"/>
        </w:rPr>
        <w:t xml:space="preserve">significant effect on visual clinical parameters. </w:t>
      </w:r>
      <w:r w:rsidR="002924A4" w:rsidRPr="00004507">
        <w:rPr>
          <w:rFonts w:ascii="Arial" w:hAnsi="Arial" w:cs="Arial"/>
          <w:color w:val="000000" w:themeColor="text1"/>
          <w:lang w:val="en-US"/>
        </w:rPr>
        <w:t xml:space="preserve">In Table </w:t>
      </w:r>
      <w:r w:rsidR="005A2FFA">
        <w:rPr>
          <w:rFonts w:ascii="Arial" w:hAnsi="Arial" w:cs="Arial"/>
          <w:color w:val="000000" w:themeColor="text1"/>
          <w:lang w:val="en-US"/>
        </w:rPr>
        <w:t>8</w:t>
      </w:r>
      <w:r w:rsidR="00F804CD" w:rsidRPr="00004507">
        <w:rPr>
          <w:rFonts w:ascii="Arial" w:hAnsi="Arial" w:cs="Arial"/>
          <w:color w:val="000000" w:themeColor="text1"/>
          <w:lang w:val="en-US"/>
        </w:rPr>
        <w:t>,</w:t>
      </w:r>
      <w:r w:rsidR="002924A4" w:rsidRPr="00004507">
        <w:rPr>
          <w:rFonts w:ascii="Arial" w:hAnsi="Arial" w:cs="Arial"/>
          <w:color w:val="000000" w:themeColor="text1"/>
          <w:lang w:val="en-US"/>
        </w:rPr>
        <w:t xml:space="preserve"> we </w:t>
      </w:r>
      <w:r w:rsidR="00F804CD" w:rsidRPr="00004507">
        <w:rPr>
          <w:rFonts w:ascii="Arial" w:hAnsi="Arial" w:cs="Arial"/>
          <w:color w:val="000000" w:themeColor="text1"/>
          <w:lang w:val="en-US"/>
        </w:rPr>
        <w:t xml:space="preserve">have shown the </w:t>
      </w:r>
      <w:r w:rsidR="00EF3EBA" w:rsidRPr="00004507">
        <w:rPr>
          <w:rFonts w:ascii="Arial" w:hAnsi="Arial" w:cs="Arial"/>
          <w:color w:val="000000" w:themeColor="text1"/>
          <w:lang w:val="en-US"/>
        </w:rPr>
        <w:t>comparison</w:t>
      </w:r>
      <w:r w:rsidR="002924A4" w:rsidRPr="00004507">
        <w:rPr>
          <w:rFonts w:ascii="Arial" w:hAnsi="Arial" w:cs="Arial"/>
          <w:color w:val="000000" w:themeColor="text1"/>
          <w:lang w:val="en-US"/>
        </w:rPr>
        <w:t xml:space="preserve"> </w:t>
      </w:r>
      <w:r w:rsidR="00EF3EBA" w:rsidRPr="00004507">
        <w:rPr>
          <w:rFonts w:ascii="Arial" w:hAnsi="Arial" w:cs="Arial"/>
          <w:color w:val="000000" w:themeColor="text1"/>
          <w:lang w:val="en-US"/>
        </w:rPr>
        <w:t xml:space="preserve">between </w:t>
      </w:r>
      <w:r w:rsidR="002924A4" w:rsidRPr="00004507">
        <w:rPr>
          <w:rFonts w:ascii="Arial" w:hAnsi="Arial" w:cs="Arial"/>
          <w:color w:val="000000" w:themeColor="text1"/>
          <w:lang w:val="en-US"/>
        </w:rPr>
        <w:t xml:space="preserve">the frequencies of </w:t>
      </w:r>
      <w:r w:rsidR="00EF3EBA" w:rsidRPr="00004507">
        <w:rPr>
          <w:rFonts w:ascii="Arial" w:hAnsi="Arial" w:cs="Arial"/>
          <w:color w:val="000000" w:themeColor="text1"/>
          <w:lang w:val="en-US"/>
        </w:rPr>
        <w:t xml:space="preserve">minor </w:t>
      </w:r>
      <w:r w:rsidR="002924A4" w:rsidRPr="001320A7">
        <w:rPr>
          <w:rFonts w:ascii="Arial" w:hAnsi="Arial" w:cs="Arial"/>
          <w:i/>
          <w:color w:val="000000" w:themeColor="text1"/>
          <w:lang w:val="en-US"/>
        </w:rPr>
        <w:t>PON1</w:t>
      </w:r>
      <w:r w:rsidR="002924A4" w:rsidRPr="00004507">
        <w:rPr>
          <w:rFonts w:ascii="Arial" w:hAnsi="Arial" w:cs="Arial"/>
          <w:color w:val="000000" w:themeColor="text1"/>
          <w:lang w:val="en-US"/>
        </w:rPr>
        <w:t xml:space="preserve"> </w:t>
      </w:r>
      <w:r w:rsidR="00EF3EBA" w:rsidRPr="00004507">
        <w:rPr>
          <w:rFonts w:ascii="Arial" w:hAnsi="Arial" w:cs="Arial"/>
          <w:color w:val="000000" w:themeColor="text1"/>
          <w:lang w:val="en-US"/>
        </w:rPr>
        <w:t xml:space="preserve">alleles </w:t>
      </w:r>
      <w:r w:rsidR="002924A4" w:rsidRPr="00004507">
        <w:rPr>
          <w:rFonts w:ascii="Arial" w:hAnsi="Arial" w:cs="Arial"/>
          <w:color w:val="000000" w:themeColor="text1"/>
          <w:lang w:val="en-US"/>
        </w:rPr>
        <w:t xml:space="preserve">across the 5 </w:t>
      </w:r>
      <w:r w:rsidR="00EF3EBA" w:rsidRPr="00004507">
        <w:rPr>
          <w:rFonts w:ascii="Arial" w:hAnsi="Arial" w:cs="Arial"/>
          <w:color w:val="000000" w:themeColor="text1"/>
          <w:lang w:val="en-US"/>
        </w:rPr>
        <w:t xml:space="preserve">VFS </w:t>
      </w:r>
      <w:r w:rsidR="002924A4" w:rsidRPr="00004507">
        <w:rPr>
          <w:rFonts w:ascii="Arial" w:hAnsi="Arial" w:cs="Arial"/>
          <w:color w:val="000000" w:themeColor="text1"/>
          <w:lang w:val="en-US"/>
        </w:rPr>
        <w:t>groups</w:t>
      </w:r>
      <w:r w:rsidR="00EF3EBA" w:rsidRPr="00004507">
        <w:rPr>
          <w:rFonts w:ascii="Arial" w:hAnsi="Arial" w:cs="Arial"/>
          <w:color w:val="000000" w:themeColor="text1"/>
          <w:lang w:val="en-US"/>
        </w:rPr>
        <w:t xml:space="preserve">, no </w:t>
      </w:r>
      <w:r w:rsidR="002924A4" w:rsidRPr="00004507">
        <w:rPr>
          <w:rFonts w:ascii="Arial" w:hAnsi="Arial" w:cs="Arial"/>
          <w:color w:val="000000" w:themeColor="text1"/>
          <w:lang w:val="en-US"/>
        </w:rPr>
        <w:t>significantly over</w:t>
      </w:r>
      <w:r w:rsidR="00EF3EBA" w:rsidRPr="00004507">
        <w:rPr>
          <w:rFonts w:ascii="Arial" w:hAnsi="Arial" w:cs="Arial"/>
          <w:color w:val="000000" w:themeColor="text1"/>
          <w:lang w:val="en-US"/>
        </w:rPr>
        <w:t xml:space="preserve">- or underrepresented </w:t>
      </w:r>
      <w:r w:rsidR="002924A4" w:rsidRPr="00004507">
        <w:rPr>
          <w:rFonts w:ascii="Arial" w:hAnsi="Arial" w:cs="Arial"/>
          <w:color w:val="000000" w:themeColor="text1"/>
          <w:lang w:val="en-US"/>
        </w:rPr>
        <w:t>allele</w:t>
      </w:r>
      <w:r w:rsidR="00EF3EBA" w:rsidRPr="00004507">
        <w:rPr>
          <w:rFonts w:ascii="Arial" w:hAnsi="Arial" w:cs="Arial"/>
          <w:color w:val="000000" w:themeColor="text1"/>
          <w:lang w:val="en-US"/>
        </w:rPr>
        <w:t xml:space="preserve"> was observed</w:t>
      </w:r>
      <w:r w:rsidR="002924A4" w:rsidRPr="00004507">
        <w:rPr>
          <w:rFonts w:ascii="Arial" w:hAnsi="Arial" w:cs="Arial"/>
          <w:color w:val="000000" w:themeColor="text1"/>
          <w:lang w:val="en-US"/>
        </w:rPr>
        <w:t xml:space="preserve">. </w:t>
      </w:r>
    </w:p>
    <w:p w14:paraId="559994A7" w14:textId="315A0EF9" w:rsidR="00954979" w:rsidRPr="00004507" w:rsidRDefault="00F95C5C" w:rsidP="00C15EA2">
      <w:pPr>
        <w:spacing w:after="240" w:line="276" w:lineRule="auto"/>
        <w:jc w:val="both"/>
        <w:rPr>
          <w:rFonts w:ascii="Arial" w:hAnsi="Arial" w:cs="Arial"/>
          <w:color w:val="000000" w:themeColor="text1"/>
          <w:lang w:val="en-US"/>
        </w:rPr>
      </w:pPr>
      <w:r w:rsidRPr="00004507">
        <w:rPr>
          <w:rFonts w:ascii="Arial" w:hAnsi="Arial" w:cs="Arial"/>
          <w:color w:val="000000" w:themeColor="text1"/>
          <w:lang w:val="en-US"/>
        </w:rPr>
        <w:t>Correlation coefficients were also calculated to reveal the strengt</w:t>
      </w:r>
      <w:r w:rsidR="009D470E" w:rsidRPr="00004507">
        <w:rPr>
          <w:rFonts w:ascii="Arial" w:hAnsi="Arial" w:cs="Arial"/>
          <w:color w:val="000000" w:themeColor="text1"/>
          <w:lang w:val="en-US"/>
        </w:rPr>
        <w:t>h of the association between</w:t>
      </w:r>
      <w:r w:rsidRPr="00004507">
        <w:rPr>
          <w:rFonts w:ascii="Arial" w:hAnsi="Arial" w:cs="Arial"/>
          <w:color w:val="000000" w:themeColor="text1"/>
          <w:lang w:val="en-US"/>
        </w:rPr>
        <w:t xml:space="preserve"> the parameters in this study. </w:t>
      </w:r>
      <w:r w:rsidR="003A0B9B" w:rsidRPr="00004507">
        <w:rPr>
          <w:rFonts w:ascii="Arial" w:hAnsi="Arial" w:cs="Arial"/>
          <w:color w:val="000000" w:themeColor="text1"/>
          <w:lang w:val="en-US"/>
        </w:rPr>
        <w:t xml:space="preserve">In the overall study population, IOP was found to be significantly </w:t>
      </w:r>
      <w:r w:rsidR="00C506D6" w:rsidRPr="00004507">
        <w:rPr>
          <w:rFonts w:ascii="Arial" w:hAnsi="Arial" w:cs="Arial"/>
          <w:color w:val="000000" w:themeColor="text1"/>
          <w:lang w:val="en-US"/>
        </w:rPr>
        <w:t xml:space="preserve">inversely </w:t>
      </w:r>
      <w:r w:rsidR="003A0B9B" w:rsidRPr="00004507">
        <w:rPr>
          <w:rFonts w:ascii="Arial" w:hAnsi="Arial" w:cs="Arial"/>
          <w:color w:val="000000" w:themeColor="text1"/>
          <w:lang w:val="en-US"/>
        </w:rPr>
        <w:t>correlat</w:t>
      </w:r>
      <w:r w:rsidR="009D470E" w:rsidRPr="00004507">
        <w:rPr>
          <w:rFonts w:ascii="Arial" w:hAnsi="Arial" w:cs="Arial"/>
          <w:color w:val="000000" w:themeColor="text1"/>
          <w:lang w:val="en-US"/>
        </w:rPr>
        <w:t>ed with sex (</w:t>
      </w:r>
      <w:r w:rsidR="009D470E" w:rsidRPr="00004507">
        <w:rPr>
          <w:rFonts w:ascii="Arial" w:hAnsi="Arial" w:cs="Arial"/>
          <w:i/>
          <w:color w:val="000000" w:themeColor="text1"/>
          <w:lang w:val="en-US"/>
        </w:rPr>
        <w:t>r</w:t>
      </w:r>
      <w:r w:rsidR="00B56580" w:rsidRPr="00004507">
        <w:rPr>
          <w:rFonts w:ascii="Arial" w:hAnsi="Arial" w:cs="Arial"/>
          <w:i/>
          <w:color w:val="000000" w:themeColor="text1"/>
          <w:lang w:val="en-US"/>
        </w:rPr>
        <w:t xml:space="preserve"> </w:t>
      </w:r>
      <w:r w:rsidR="009D470E" w:rsidRPr="00004507">
        <w:rPr>
          <w:rFonts w:ascii="Arial" w:hAnsi="Arial" w:cs="Arial"/>
          <w:color w:val="000000" w:themeColor="text1"/>
          <w:lang w:val="en-US"/>
        </w:rPr>
        <w:t>=</w:t>
      </w:r>
      <w:r w:rsidR="009D470E" w:rsidRPr="00004507">
        <w:rPr>
          <w:rFonts w:ascii="Arial" w:hAnsi="Arial" w:cs="Arial"/>
          <w:color w:val="000000"/>
          <w:lang w:val="en-US"/>
        </w:rPr>
        <w:t xml:space="preserve"> −</w:t>
      </w:r>
      <w:r w:rsidR="003A0B9B" w:rsidRPr="00004507">
        <w:rPr>
          <w:rFonts w:ascii="Arial" w:hAnsi="Arial" w:cs="Arial"/>
          <w:color w:val="000000" w:themeColor="text1"/>
          <w:lang w:val="en-US"/>
        </w:rPr>
        <w:t>0.116, P</w:t>
      </w:r>
      <w:r w:rsidR="000B21C5" w:rsidRPr="00004507">
        <w:rPr>
          <w:rFonts w:ascii="Arial" w:hAnsi="Arial" w:cs="Arial"/>
          <w:color w:val="000000" w:themeColor="text1"/>
          <w:lang w:val="en-US"/>
        </w:rPr>
        <w:t xml:space="preserve"> </w:t>
      </w:r>
      <w:r w:rsidR="003A0B9B" w:rsidRPr="00004507">
        <w:rPr>
          <w:rFonts w:ascii="Arial" w:hAnsi="Arial" w:cs="Arial"/>
          <w:color w:val="000000" w:themeColor="text1"/>
          <w:lang w:val="en-US"/>
        </w:rPr>
        <w:t>=</w:t>
      </w:r>
      <w:r w:rsidR="000B21C5" w:rsidRPr="00004507">
        <w:rPr>
          <w:rFonts w:ascii="Arial" w:hAnsi="Arial" w:cs="Arial"/>
          <w:color w:val="000000" w:themeColor="text1"/>
          <w:lang w:val="en-US"/>
        </w:rPr>
        <w:t xml:space="preserve"> </w:t>
      </w:r>
      <w:r w:rsidR="003A0B9B" w:rsidRPr="00004507">
        <w:rPr>
          <w:rFonts w:ascii="Arial" w:hAnsi="Arial" w:cs="Arial"/>
          <w:color w:val="000000" w:themeColor="text1"/>
          <w:lang w:val="en-US"/>
        </w:rPr>
        <w:t>0.011</w:t>
      </w:r>
      <w:r w:rsidR="00C506D6" w:rsidRPr="00004507">
        <w:rPr>
          <w:rFonts w:ascii="Arial" w:hAnsi="Arial" w:cs="Arial"/>
          <w:color w:val="000000" w:themeColor="text1"/>
          <w:lang w:val="en-US"/>
        </w:rPr>
        <w:t xml:space="preserve">), </w:t>
      </w:r>
      <w:r w:rsidR="00320904">
        <w:rPr>
          <w:rFonts w:ascii="Arial" w:hAnsi="Arial" w:cs="Arial"/>
          <w:color w:val="000000" w:themeColor="text1"/>
          <w:lang w:val="en-US"/>
        </w:rPr>
        <w:t xml:space="preserve">in other words </w:t>
      </w:r>
      <w:r w:rsidR="00C506D6" w:rsidRPr="00004507">
        <w:rPr>
          <w:rFonts w:ascii="Arial" w:hAnsi="Arial" w:cs="Arial"/>
          <w:color w:val="000000" w:themeColor="text1"/>
          <w:lang w:val="en-US"/>
        </w:rPr>
        <w:t xml:space="preserve">IOP was significantly directly correlated with being female. The same </w:t>
      </w:r>
      <w:r w:rsidR="00705846" w:rsidRPr="00004507">
        <w:rPr>
          <w:rFonts w:ascii="Arial" w:hAnsi="Arial" w:cs="Arial"/>
          <w:color w:val="000000" w:themeColor="text1"/>
          <w:lang w:val="en-US"/>
        </w:rPr>
        <w:t xml:space="preserve">significant </w:t>
      </w:r>
      <w:r w:rsidR="00C506D6" w:rsidRPr="00004507">
        <w:rPr>
          <w:rFonts w:ascii="Arial" w:hAnsi="Arial" w:cs="Arial"/>
          <w:color w:val="000000" w:themeColor="text1"/>
          <w:lang w:val="en-US"/>
        </w:rPr>
        <w:t xml:space="preserve">correlation was also observed </w:t>
      </w:r>
      <w:r w:rsidRPr="00004507">
        <w:rPr>
          <w:rFonts w:ascii="Arial" w:hAnsi="Arial" w:cs="Arial"/>
          <w:color w:val="000000" w:themeColor="text1"/>
          <w:lang w:val="en-US"/>
        </w:rPr>
        <w:t>in the</w:t>
      </w:r>
      <w:r w:rsidR="00DB065A" w:rsidRPr="00004507">
        <w:rPr>
          <w:rFonts w:ascii="Arial" w:hAnsi="Arial" w:cs="Arial"/>
          <w:color w:val="000000" w:themeColor="text1"/>
          <w:lang w:val="en-US"/>
        </w:rPr>
        <w:t xml:space="preserve"> PEG</w:t>
      </w:r>
      <w:r w:rsidR="00C506D6"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group </w:t>
      </w:r>
      <w:r w:rsidR="00C506D6" w:rsidRPr="00004507">
        <w:rPr>
          <w:rFonts w:ascii="Arial" w:hAnsi="Arial" w:cs="Arial"/>
          <w:color w:val="000000" w:themeColor="text1"/>
          <w:lang w:val="en-US"/>
        </w:rPr>
        <w:t>(</w:t>
      </w:r>
      <w:r w:rsidR="00603227" w:rsidRPr="00004507">
        <w:rPr>
          <w:rFonts w:ascii="Arial" w:hAnsi="Arial" w:cs="Arial"/>
          <w:i/>
          <w:color w:val="000000" w:themeColor="text1"/>
          <w:lang w:val="en-US"/>
        </w:rPr>
        <w:t>r</w:t>
      </w:r>
      <w:r w:rsidR="00603227" w:rsidRPr="00004507">
        <w:rPr>
          <w:rFonts w:ascii="Arial" w:hAnsi="Arial" w:cs="Arial"/>
          <w:color w:val="000000" w:themeColor="text1"/>
          <w:lang w:val="en-US"/>
        </w:rPr>
        <w:t xml:space="preserve"> </w:t>
      </w:r>
      <w:r w:rsidR="00C506D6" w:rsidRPr="00004507">
        <w:rPr>
          <w:rFonts w:ascii="Arial" w:hAnsi="Arial" w:cs="Arial"/>
          <w:color w:val="000000" w:themeColor="text1"/>
          <w:lang w:val="en-US"/>
        </w:rPr>
        <w:t xml:space="preserve">= </w:t>
      </w:r>
      <w:r w:rsidR="009D470E" w:rsidRPr="00004507">
        <w:rPr>
          <w:rFonts w:ascii="Arial" w:hAnsi="Arial" w:cs="Arial"/>
          <w:color w:val="000000"/>
          <w:lang w:val="en-US"/>
        </w:rPr>
        <w:t>−</w:t>
      </w:r>
      <w:r w:rsidR="00C506D6" w:rsidRPr="00004507">
        <w:rPr>
          <w:rFonts w:ascii="Arial" w:hAnsi="Arial" w:cs="Arial"/>
          <w:color w:val="000000" w:themeColor="text1"/>
          <w:lang w:val="en-US"/>
        </w:rPr>
        <w:t>0.189, P</w:t>
      </w:r>
      <w:r w:rsidR="000B21C5" w:rsidRPr="00004507">
        <w:rPr>
          <w:rFonts w:ascii="Arial" w:hAnsi="Arial" w:cs="Arial"/>
          <w:color w:val="000000" w:themeColor="text1"/>
          <w:lang w:val="en-US"/>
        </w:rPr>
        <w:t xml:space="preserve"> </w:t>
      </w:r>
      <w:r w:rsidR="00C506D6" w:rsidRPr="00004507">
        <w:rPr>
          <w:rFonts w:ascii="Arial" w:hAnsi="Arial" w:cs="Arial"/>
          <w:color w:val="000000" w:themeColor="text1"/>
          <w:lang w:val="en-US"/>
        </w:rPr>
        <w:t>=</w:t>
      </w:r>
      <w:r w:rsidR="000B21C5" w:rsidRPr="00004507">
        <w:rPr>
          <w:rFonts w:ascii="Arial" w:hAnsi="Arial" w:cs="Arial"/>
          <w:color w:val="000000" w:themeColor="text1"/>
          <w:lang w:val="en-US"/>
        </w:rPr>
        <w:t xml:space="preserve"> </w:t>
      </w:r>
      <w:r w:rsidR="00C506D6" w:rsidRPr="00004507">
        <w:rPr>
          <w:rFonts w:ascii="Arial" w:hAnsi="Arial" w:cs="Arial"/>
          <w:color w:val="000000" w:themeColor="text1"/>
          <w:lang w:val="en-US"/>
        </w:rPr>
        <w:t>0.019).</w:t>
      </w:r>
      <w:r w:rsidRPr="00004507">
        <w:rPr>
          <w:rFonts w:ascii="Arial" w:hAnsi="Arial" w:cs="Arial"/>
          <w:color w:val="000000" w:themeColor="text1"/>
          <w:lang w:val="en-US"/>
        </w:rPr>
        <w:t xml:space="preserve"> </w:t>
      </w:r>
      <w:r w:rsidR="00705846" w:rsidRPr="00004507">
        <w:rPr>
          <w:rFonts w:ascii="Arial" w:hAnsi="Arial" w:cs="Arial"/>
          <w:color w:val="000000" w:themeColor="text1"/>
          <w:lang w:val="en-US"/>
        </w:rPr>
        <w:t>In the overall study population, IOP was also</w:t>
      </w:r>
      <w:r w:rsidR="00C506D6" w:rsidRPr="00004507">
        <w:rPr>
          <w:rFonts w:ascii="Arial" w:hAnsi="Arial" w:cs="Arial"/>
          <w:color w:val="000000" w:themeColor="text1"/>
          <w:lang w:val="en-US"/>
        </w:rPr>
        <w:t xml:space="preserve"> correlated with </w:t>
      </w:r>
      <w:r w:rsidR="003A0B9B" w:rsidRPr="00004507">
        <w:rPr>
          <w:rFonts w:ascii="Arial" w:hAnsi="Arial" w:cs="Arial"/>
          <w:color w:val="000000" w:themeColor="text1"/>
          <w:lang w:val="en-US"/>
        </w:rPr>
        <w:t>VFS (</w:t>
      </w:r>
      <w:r w:rsidR="00603227" w:rsidRPr="00004507">
        <w:rPr>
          <w:rFonts w:ascii="Arial" w:hAnsi="Arial" w:cs="Arial"/>
          <w:i/>
          <w:color w:val="000000" w:themeColor="text1"/>
          <w:lang w:val="en-US"/>
        </w:rPr>
        <w:t>r</w:t>
      </w:r>
      <w:r w:rsidR="00603227" w:rsidRPr="00004507">
        <w:rPr>
          <w:rFonts w:ascii="Arial" w:hAnsi="Arial" w:cs="Arial"/>
          <w:color w:val="000000" w:themeColor="text1"/>
          <w:lang w:val="en-US"/>
        </w:rPr>
        <w:t xml:space="preserve"> </w:t>
      </w:r>
      <w:r w:rsidR="00DB065A" w:rsidRPr="00004507">
        <w:rPr>
          <w:rFonts w:ascii="Arial" w:hAnsi="Arial" w:cs="Arial"/>
          <w:color w:val="000000" w:themeColor="text1"/>
          <w:lang w:val="en-US"/>
        </w:rPr>
        <w:t>=0.179, P</w:t>
      </w:r>
      <w:r w:rsidR="009C0054" w:rsidRPr="00004507">
        <w:rPr>
          <w:rFonts w:ascii="Arial" w:hAnsi="Arial" w:cs="Arial"/>
          <w:color w:val="000000" w:themeColor="text1"/>
          <w:lang w:val="en-US"/>
        </w:rPr>
        <w:t xml:space="preserve"> </w:t>
      </w:r>
      <w:r w:rsidR="00DB065A" w:rsidRPr="00004507">
        <w:rPr>
          <w:rFonts w:ascii="Arial" w:hAnsi="Arial" w:cs="Arial"/>
          <w:color w:val="000000" w:themeColor="text1"/>
          <w:lang w:val="en-US"/>
        </w:rPr>
        <w:t>=</w:t>
      </w:r>
      <w:r w:rsidR="009C0054" w:rsidRPr="00004507">
        <w:rPr>
          <w:rFonts w:ascii="Arial" w:hAnsi="Arial" w:cs="Arial"/>
          <w:color w:val="000000" w:themeColor="text1"/>
          <w:lang w:val="en-US"/>
        </w:rPr>
        <w:t xml:space="preserve"> </w:t>
      </w:r>
      <w:r w:rsidR="00DB065A" w:rsidRPr="00004507">
        <w:rPr>
          <w:rFonts w:ascii="Arial" w:hAnsi="Arial" w:cs="Arial"/>
          <w:color w:val="000000" w:themeColor="text1"/>
          <w:lang w:val="en-US"/>
        </w:rPr>
        <w:t xml:space="preserve">0.000), </w:t>
      </w:r>
      <w:r w:rsidR="003A0B9B" w:rsidRPr="00004507">
        <w:rPr>
          <w:rFonts w:ascii="Arial" w:hAnsi="Arial" w:cs="Arial"/>
          <w:color w:val="000000" w:themeColor="text1"/>
          <w:lang w:val="en-US"/>
        </w:rPr>
        <w:t>MD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9D470E" w:rsidRPr="00004507">
        <w:rPr>
          <w:rFonts w:ascii="Arial" w:hAnsi="Arial" w:cs="Arial"/>
          <w:color w:val="000000" w:themeColor="text1"/>
          <w:lang w:val="en-US"/>
        </w:rPr>
        <w:t xml:space="preserve">= </w:t>
      </w:r>
      <w:r w:rsidR="009D470E" w:rsidRPr="00004507">
        <w:rPr>
          <w:rFonts w:ascii="Arial" w:hAnsi="Arial" w:cs="Arial"/>
          <w:color w:val="000000"/>
          <w:lang w:val="en-US"/>
        </w:rPr>
        <w:t>−</w:t>
      </w:r>
      <w:r w:rsidR="00DB065A" w:rsidRPr="00004507">
        <w:rPr>
          <w:rFonts w:ascii="Arial" w:hAnsi="Arial" w:cs="Arial"/>
          <w:color w:val="000000" w:themeColor="text1"/>
          <w:lang w:val="en-US"/>
        </w:rPr>
        <w:t>0.149, P</w:t>
      </w:r>
      <w:r w:rsidR="009C0054" w:rsidRPr="00004507">
        <w:rPr>
          <w:rFonts w:ascii="Arial" w:hAnsi="Arial" w:cs="Arial"/>
          <w:color w:val="000000" w:themeColor="text1"/>
          <w:lang w:val="en-US"/>
        </w:rPr>
        <w:t xml:space="preserve"> </w:t>
      </w:r>
      <w:r w:rsidR="00DB065A" w:rsidRPr="00004507">
        <w:rPr>
          <w:rFonts w:ascii="Arial" w:hAnsi="Arial" w:cs="Arial"/>
          <w:color w:val="000000" w:themeColor="text1"/>
          <w:lang w:val="en-US"/>
        </w:rPr>
        <w:t>=</w:t>
      </w:r>
      <w:r w:rsidR="009C0054" w:rsidRPr="00004507">
        <w:rPr>
          <w:rFonts w:ascii="Arial" w:hAnsi="Arial" w:cs="Arial"/>
          <w:color w:val="000000" w:themeColor="text1"/>
          <w:lang w:val="en-US"/>
        </w:rPr>
        <w:t xml:space="preserve"> </w:t>
      </w:r>
      <w:r w:rsidR="00DB065A" w:rsidRPr="00004507">
        <w:rPr>
          <w:rFonts w:ascii="Arial" w:hAnsi="Arial" w:cs="Arial"/>
          <w:color w:val="000000" w:themeColor="text1"/>
          <w:lang w:val="en-US"/>
        </w:rPr>
        <w:t xml:space="preserve">0.001) and </w:t>
      </w:r>
      <w:r w:rsidR="003A0B9B" w:rsidRPr="00004507">
        <w:rPr>
          <w:rFonts w:ascii="Arial" w:hAnsi="Arial" w:cs="Arial"/>
          <w:color w:val="000000" w:themeColor="text1"/>
          <w:lang w:val="en-US"/>
        </w:rPr>
        <w:t>PSD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3A0B9B" w:rsidRPr="00004507">
        <w:rPr>
          <w:rFonts w:ascii="Arial" w:hAnsi="Arial" w:cs="Arial"/>
          <w:color w:val="000000" w:themeColor="text1"/>
          <w:lang w:val="en-US"/>
        </w:rPr>
        <w:t>=</w:t>
      </w:r>
      <w:r w:rsidR="00B56580" w:rsidRPr="00004507">
        <w:rPr>
          <w:rFonts w:ascii="Arial" w:hAnsi="Arial" w:cs="Arial"/>
          <w:color w:val="000000" w:themeColor="text1"/>
          <w:lang w:val="en-US"/>
        </w:rPr>
        <w:t xml:space="preserve"> </w:t>
      </w:r>
      <w:r w:rsidR="003A0B9B" w:rsidRPr="00004507">
        <w:rPr>
          <w:rFonts w:ascii="Arial" w:hAnsi="Arial" w:cs="Arial"/>
          <w:color w:val="000000" w:themeColor="text1"/>
          <w:lang w:val="en-US"/>
        </w:rPr>
        <w:t>0.134, P</w:t>
      </w:r>
      <w:r w:rsidR="009C0054" w:rsidRPr="00004507">
        <w:rPr>
          <w:rFonts w:ascii="Arial" w:hAnsi="Arial" w:cs="Arial"/>
          <w:color w:val="000000" w:themeColor="text1"/>
          <w:lang w:val="en-US"/>
        </w:rPr>
        <w:t xml:space="preserve"> </w:t>
      </w:r>
      <w:r w:rsidR="003A0B9B" w:rsidRPr="00004507">
        <w:rPr>
          <w:rFonts w:ascii="Arial" w:hAnsi="Arial" w:cs="Arial"/>
          <w:color w:val="000000" w:themeColor="text1"/>
          <w:lang w:val="en-US"/>
        </w:rPr>
        <w:t>=</w:t>
      </w:r>
      <w:r w:rsidR="009C0054" w:rsidRPr="00004507">
        <w:rPr>
          <w:rFonts w:ascii="Arial" w:hAnsi="Arial" w:cs="Arial"/>
          <w:color w:val="000000" w:themeColor="text1"/>
          <w:lang w:val="en-US"/>
        </w:rPr>
        <w:t xml:space="preserve"> </w:t>
      </w:r>
      <w:r w:rsidR="003A0B9B" w:rsidRPr="00004507">
        <w:rPr>
          <w:rFonts w:ascii="Arial" w:hAnsi="Arial" w:cs="Arial"/>
          <w:color w:val="000000" w:themeColor="text1"/>
          <w:lang w:val="en-US"/>
        </w:rPr>
        <w:t xml:space="preserve">0.003). </w:t>
      </w:r>
      <w:r w:rsidR="00C84AE6" w:rsidRPr="00004507">
        <w:rPr>
          <w:rFonts w:ascii="Arial" w:hAnsi="Arial" w:cs="Arial"/>
          <w:color w:val="000000" w:themeColor="text1"/>
          <w:lang w:val="en-US"/>
        </w:rPr>
        <w:t>In</w:t>
      </w:r>
      <w:r w:rsidR="00954979" w:rsidRPr="00004507">
        <w:rPr>
          <w:rFonts w:ascii="Arial" w:hAnsi="Arial" w:cs="Arial"/>
          <w:color w:val="000000" w:themeColor="text1"/>
          <w:lang w:val="en-US"/>
        </w:rPr>
        <w:t xml:space="preserve"> </w:t>
      </w:r>
      <w:r w:rsidR="002D582A" w:rsidRPr="00004507">
        <w:rPr>
          <w:rFonts w:ascii="Arial" w:hAnsi="Arial" w:cs="Arial"/>
          <w:color w:val="000000" w:themeColor="text1"/>
          <w:lang w:val="en-US"/>
        </w:rPr>
        <w:t xml:space="preserve">the </w:t>
      </w:r>
      <w:r w:rsidR="00954979" w:rsidRPr="00004507">
        <w:rPr>
          <w:rFonts w:ascii="Arial" w:hAnsi="Arial" w:cs="Arial"/>
          <w:color w:val="000000" w:themeColor="text1"/>
          <w:lang w:val="en-US"/>
        </w:rPr>
        <w:t xml:space="preserve">PEG </w:t>
      </w:r>
      <w:r w:rsidR="00C84AE6" w:rsidRPr="00004507">
        <w:rPr>
          <w:rFonts w:ascii="Arial" w:hAnsi="Arial" w:cs="Arial"/>
          <w:color w:val="000000" w:themeColor="text1"/>
          <w:lang w:val="en-US"/>
        </w:rPr>
        <w:t>group</w:t>
      </w:r>
      <w:r w:rsidR="00484A1F" w:rsidRPr="00004507">
        <w:rPr>
          <w:rFonts w:ascii="Arial" w:hAnsi="Arial" w:cs="Arial"/>
          <w:color w:val="000000" w:themeColor="text1"/>
          <w:lang w:val="en-US"/>
        </w:rPr>
        <w:t>,</w:t>
      </w:r>
      <w:r w:rsidR="00954979" w:rsidRPr="00004507">
        <w:rPr>
          <w:rFonts w:ascii="Arial" w:hAnsi="Arial" w:cs="Arial"/>
          <w:color w:val="000000" w:themeColor="text1"/>
          <w:lang w:val="en-US"/>
        </w:rPr>
        <w:t xml:space="preserve"> </w:t>
      </w:r>
      <w:r w:rsidR="00705846" w:rsidRPr="00004507">
        <w:rPr>
          <w:rFonts w:ascii="Arial" w:hAnsi="Arial" w:cs="Arial"/>
          <w:color w:val="000000" w:themeColor="text1"/>
          <w:lang w:val="en-US"/>
        </w:rPr>
        <w:t>VFS</w:t>
      </w:r>
      <w:r w:rsidR="00954979" w:rsidRPr="00004507">
        <w:rPr>
          <w:rFonts w:ascii="Arial" w:hAnsi="Arial" w:cs="Arial"/>
          <w:color w:val="000000" w:themeColor="text1"/>
          <w:lang w:val="en-US"/>
        </w:rPr>
        <w:t xml:space="preserve"> was s</w:t>
      </w:r>
      <w:r w:rsidR="00C84AE6" w:rsidRPr="00004507">
        <w:rPr>
          <w:rFonts w:ascii="Arial" w:hAnsi="Arial" w:cs="Arial"/>
          <w:color w:val="000000" w:themeColor="text1"/>
          <w:lang w:val="en-US"/>
        </w:rPr>
        <w:t xml:space="preserve">ignificantly correlated with </w:t>
      </w:r>
      <w:r w:rsidR="00954979" w:rsidRPr="00004507">
        <w:rPr>
          <w:rFonts w:ascii="Arial" w:hAnsi="Arial" w:cs="Arial"/>
          <w:color w:val="000000" w:themeColor="text1"/>
          <w:lang w:val="en-US"/>
        </w:rPr>
        <w:t>MD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064B21" w:rsidRPr="00004507">
        <w:rPr>
          <w:rFonts w:ascii="Arial" w:hAnsi="Arial" w:cs="Arial"/>
          <w:color w:val="000000" w:themeColor="text1"/>
          <w:lang w:val="en-US"/>
        </w:rPr>
        <w:t>=</w:t>
      </w:r>
      <w:r w:rsidR="00B56580" w:rsidRPr="00004507">
        <w:rPr>
          <w:rFonts w:ascii="Arial" w:hAnsi="Arial" w:cs="Arial"/>
          <w:color w:val="000000" w:themeColor="text1"/>
          <w:lang w:val="en-US"/>
        </w:rPr>
        <w:t xml:space="preserve"> </w:t>
      </w:r>
      <w:r w:rsidR="00B56580" w:rsidRPr="00004507">
        <w:rPr>
          <w:rFonts w:ascii="Arial" w:hAnsi="Arial" w:cs="Arial"/>
          <w:color w:val="000000"/>
          <w:lang w:val="en-US"/>
        </w:rPr>
        <w:t>−</w:t>
      </w:r>
      <w:r w:rsidR="00064B21" w:rsidRPr="00004507">
        <w:rPr>
          <w:rFonts w:ascii="Arial" w:hAnsi="Arial" w:cs="Arial"/>
          <w:color w:val="000000" w:themeColor="text1"/>
          <w:lang w:val="en-US"/>
        </w:rPr>
        <w:t>0.946, P</w:t>
      </w:r>
      <w:r w:rsidR="009C0054" w:rsidRPr="00004507">
        <w:rPr>
          <w:rFonts w:ascii="Arial" w:hAnsi="Arial" w:cs="Arial"/>
          <w:color w:val="000000" w:themeColor="text1"/>
          <w:lang w:val="en-US"/>
        </w:rPr>
        <w:t xml:space="preserve"> </w:t>
      </w:r>
      <w:r w:rsidR="00064B21" w:rsidRPr="00004507">
        <w:rPr>
          <w:rFonts w:ascii="Arial" w:hAnsi="Arial" w:cs="Arial"/>
          <w:color w:val="000000" w:themeColor="text1"/>
          <w:lang w:val="en-US"/>
        </w:rPr>
        <w:t>=</w:t>
      </w:r>
      <w:r w:rsidR="009C0054" w:rsidRPr="00004507">
        <w:rPr>
          <w:rFonts w:ascii="Arial" w:hAnsi="Arial" w:cs="Arial"/>
          <w:color w:val="000000" w:themeColor="text1"/>
          <w:lang w:val="en-US"/>
        </w:rPr>
        <w:t xml:space="preserve"> </w:t>
      </w:r>
      <w:r w:rsidR="00064B21" w:rsidRPr="00004507">
        <w:rPr>
          <w:rFonts w:ascii="Arial" w:hAnsi="Arial" w:cs="Arial"/>
          <w:color w:val="000000" w:themeColor="text1"/>
          <w:lang w:val="en-US"/>
        </w:rPr>
        <w:t>0.000</w:t>
      </w:r>
      <w:r w:rsidR="00C84AE6" w:rsidRPr="00004507">
        <w:rPr>
          <w:rFonts w:ascii="Arial" w:hAnsi="Arial" w:cs="Arial"/>
          <w:color w:val="000000" w:themeColor="text1"/>
          <w:lang w:val="en-US"/>
        </w:rPr>
        <w:t xml:space="preserve">) and </w:t>
      </w:r>
      <w:r w:rsidR="00B56580" w:rsidRPr="00004507">
        <w:rPr>
          <w:rFonts w:ascii="Arial" w:hAnsi="Arial" w:cs="Arial"/>
          <w:color w:val="000000" w:themeColor="text1"/>
          <w:lang w:val="en-US"/>
        </w:rPr>
        <w:t>PSD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9D470E" w:rsidRPr="00004507">
        <w:rPr>
          <w:rFonts w:ascii="Arial" w:hAnsi="Arial" w:cs="Arial"/>
          <w:color w:val="000000" w:themeColor="text1"/>
          <w:lang w:val="en-US"/>
        </w:rPr>
        <w:t xml:space="preserve"> </w:t>
      </w:r>
      <w:r w:rsidR="009D470E" w:rsidRPr="00004507">
        <w:rPr>
          <w:rFonts w:ascii="Arial" w:hAnsi="Arial" w:cs="Arial"/>
          <w:color w:val="000000"/>
          <w:lang w:val="en-US"/>
        </w:rPr>
        <w:t>−</w:t>
      </w:r>
      <w:r w:rsidR="00954979" w:rsidRPr="00004507">
        <w:rPr>
          <w:rFonts w:ascii="Arial" w:hAnsi="Arial" w:cs="Arial"/>
          <w:color w:val="000000" w:themeColor="text1"/>
          <w:lang w:val="en-US"/>
        </w:rPr>
        <w:t>0.829, P</w:t>
      </w:r>
      <w:r w:rsidR="009C0054"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9C0054"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0.000), as exp</w:t>
      </w:r>
      <w:r w:rsidR="005F3465" w:rsidRPr="00004507">
        <w:rPr>
          <w:rFonts w:ascii="Arial" w:hAnsi="Arial" w:cs="Arial"/>
          <w:color w:val="000000" w:themeColor="text1"/>
          <w:lang w:val="en-US"/>
        </w:rPr>
        <w:t>ec</w:t>
      </w:r>
      <w:r w:rsidR="00954979" w:rsidRPr="00004507">
        <w:rPr>
          <w:rFonts w:ascii="Arial" w:hAnsi="Arial" w:cs="Arial"/>
          <w:color w:val="000000" w:themeColor="text1"/>
          <w:lang w:val="en-US"/>
        </w:rPr>
        <w:t xml:space="preserve">ted. </w:t>
      </w:r>
      <w:r w:rsidR="00C84AE6" w:rsidRPr="00004507">
        <w:rPr>
          <w:rFonts w:ascii="Arial" w:hAnsi="Arial" w:cs="Arial"/>
          <w:color w:val="000000" w:themeColor="text1"/>
          <w:lang w:val="en-US"/>
        </w:rPr>
        <w:t>In</w:t>
      </w:r>
      <w:r w:rsidR="00F1068B" w:rsidRPr="00004507">
        <w:rPr>
          <w:rFonts w:ascii="Arial" w:hAnsi="Arial" w:cs="Arial"/>
          <w:color w:val="000000" w:themeColor="text1"/>
          <w:lang w:val="en-US"/>
        </w:rPr>
        <w:t xml:space="preserve"> </w:t>
      </w:r>
      <w:r w:rsidR="002D582A" w:rsidRPr="00004507">
        <w:rPr>
          <w:rFonts w:ascii="Arial" w:hAnsi="Arial" w:cs="Arial"/>
          <w:color w:val="000000" w:themeColor="text1"/>
          <w:lang w:val="en-US"/>
        </w:rPr>
        <w:t xml:space="preserve">the </w:t>
      </w:r>
      <w:r w:rsidR="00F1068B" w:rsidRPr="00004507">
        <w:rPr>
          <w:rFonts w:ascii="Arial" w:hAnsi="Arial" w:cs="Arial"/>
          <w:color w:val="000000" w:themeColor="text1"/>
          <w:lang w:val="en-US"/>
        </w:rPr>
        <w:t xml:space="preserve">PEX </w:t>
      </w:r>
      <w:r w:rsidR="00C84AE6" w:rsidRPr="00004507">
        <w:rPr>
          <w:rFonts w:ascii="Arial" w:hAnsi="Arial" w:cs="Arial"/>
          <w:color w:val="000000" w:themeColor="text1"/>
          <w:lang w:val="en-US"/>
        </w:rPr>
        <w:t>group</w:t>
      </w:r>
      <w:r w:rsidR="00484A1F" w:rsidRPr="00004507">
        <w:rPr>
          <w:rFonts w:ascii="Arial" w:hAnsi="Arial" w:cs="Arial"/>
          <w:color w:val="000000" w:themeColor="text1"/>
          <w:lang w:val="en-US"/>
        </w:rPr>
        <w:t>,</w:t>
      </w:r>
      <w:r w:rsidR="00F1068B"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PSD was signific</w:t>
      </w:r>
      <w:r w:rsidR="00054321" w:rsidRPr="00004507">
        <w:rPr>
          <w:rFonts w:ascii="Arial" w:hAnsi="Arial" w:cs="Arial"/>
          <w:color w:val="000000" w:themeColor="text1"/>
          <w:lang w:val="en-US"/>
        </w:rPr>
        <w:t xml:space="preserve">antly correlated with the PON1 </w:t>
      </w:r>
      <w:r w:rsidR="00054321" w:rsidRPr="00004507">
        <w:rPr>
          <w:rFonts w:ascii="Arial" w:hAnsi="Arial" w:cs="Arial"/>
          <w:i/>
          <w:color w:val="000000" w:themeColor="text1"/>
          <w:lang w:val="en-US"/>
        </w:rPr>
        <w:t>−</w:t>
      </w:r>
      <w:r w:rsidR="00954979" w:rsidRPr="00004507">
        <w:rPr>
          <w:rFonts w:ascii="Arial" w:hAnsi="Arial" w:cs="Arial"/>
          <w:i/>
          <w:color w:val="000000" w:themeColor="text1"/>
          <w:lang w:val="en-US"/>
        </w:rPr>
        <w:t>107T/C</w:t>
      </w:r>
      <w:r w:rsidR="00B56580" w:rsidRPr="00004507">
        <w:rPr>
          <w:rFonts w:ascii="Arial" w:hAnsi="Arial" w:cs="Arial"/>
          <w:color w:val="000000" w:themeColor="text1"/>
          <w:lang w:val="en-US"/>
        </w:rPr>
        <w:t xml:space="preserve"> genotypes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B56580"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0.176, P</w:t>
      </w:r>
      <w:r w:rsidR="00416C45"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416C45"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0.031).</w:t>
      </w:r>
      <w:r w:rsidR="009D4227" w:rsidRPr="00004507">
        <w:rPr>
          <w:rFonts w:ascii="Arial" w:hAnsi="Arial" w:cs="Arial"/>
          <w:color w:val="000000" w:themeColor="text1"/>
          <w:lang w:val="en-US"/>
        </w:rPr>
        <w:t xml:space="preserve"> </w:t>
      </w:r>
      <w:r w:rsidR="0021283A" w:rsidRPr="00004507">
        <w:rPr>
          <w:rFonts w:ascii="Arial" w:hAnsi="Arial" w:cs="Arial"/>
          <w:color w:val="000000" w:themeColor="text1"/>
          <w:lang w:val="en-US"/>
        </w:rPr>
        <w:t xml:space="preserve">In </w:t>
      </w:r>
      <w:r w:rsidR="00F1068B" w:rsidRPr="00004507">
        <w:rPr>
          <w:rFonts w:ascii="Arial" w:hAnsi="Arial" w:cs="Arial"/>
          <w:color w:val="000000" w:themeColor="text1"/>
          <w:lang w:val="en-US"/>
        </w:rPr>
        <w:t>the</w:t>
      </w:r>
      <w:r w:rsidR="00954979" w:rsidRPr="00004507">
        <w:rPr>
          <w:rFonts w:ascii="Arial" w:hAnsi="Arial" w:cs="Arial"/>
          <w:color w:val="000000" w:themeColor="text1"/>
          <w:lang w:val="en-US"/>
        </w:rPr>
        <w:t xml:space="preserve"> control group, I</w:t>
      </w:r>
      <w:r w:rsidR="003A0B9B" w:rsidRPr="00004507">
        <w:rPr>
          <w:rFonts w:ascii="Arial" w:hAnsi="Arial" w:cs="Arial"/>
          <w:color w:val="000000" w:themeColor="text1"/>
          <w:lang w:val="en-US"/>
        </w:rPr>
        <w:t>O</w:t>
      </w:r>
      <w:r w:rsidR="00954979" w:rsidRPr="00004507">
        <w:rPr>
          <w:rFonts w:ascii="Arial" w:hAnsi="Arial" w:cs="Arial"/>
          <w:color w:val="000000" w:themeColor="text1"/>
          <w:lang w:val="en-US"/>
        </w:rPr>
        <w:t xml:space="preserve">P was correlated with </w:t>
      </w:r>
      <w:r w:rsidR="005F3465" w:rsidRPr="00004507">
        <w:rPr>
          <w:rFonts w:ascii="Arial" w:hAnsi="Arial" w:cs="Arial"/>
          <w:color w:val="000000" w:themeColor="text1"/>
          <w:lang w:val="en-US"/>
        </w:rPr>
        <w:t xml:space="preserve">the </w:t>
      </w:r>
      <w:r w:rsidR="00954979" w:rsidRPr="00004507">
        <w:rPr>
          <w:rFonts w:ascii="Arial" w:hAnsi="Arial" w:cs="Arial"/>
          <w:i/>
          <w:color w:val="000000" w:themeColor="text1"/>
          <w:lang w:val="en-US"/>
        </w:rPr>
        <w:t>PON1 55L/M</w:t>
      </w:r>
      <w:r w:rsidR="00954979" w:rsidRPr="00004507">
        <w:rPr>
          <w:rFonts w:ascii="Arial" w:hAnsi="Arial" w:cs="Arial"/>
          <w:color w:val="000000" w:themeColor="text1"/>
          <w:lang w:val="en-US"/>
        </w:rPr>
        <w:t xml:space="preserve"> genotypes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9D470E" w:rsidRPr="00004507">
        <w:rPr>
          <w:rFonts w:ascii="Arial" w:hAnsi="Arial" w:cs="Arial"/>
          <w:color w:val="000000" w:themeColor="text1"/>
          <w:lang w:val="en-US"/>
        </w:rPr>
        <w:t xml:space="preserve"> </w:t>
      </w:r>
      <w:r w:rsidR="009D470E" w:rsidRPr="00004507">
        <w:rPr>
          <w:rFonts w:ascii="Arial" w:hAnsi="Arial" w:cs="Arial"/>
          <w:color w:val="000000"/>
          <w:lang w:val="en-US"/>
        </w:rPr>
        <w:t>−</w:t>
      </w:r>
      <w:r w:rsidR="00954979" w:rsidRPr="00004507">
        <w:rPr>
          <w:rFonts w:ascii="Arial" w:hAnsi="Arial" w:cs="Arial"/>
          <w:color w:val="000000" w:themeColor="text1"/>
          <w:lang w:val="en-US"/>
        </w:rPr>
        <w:t>0.249, P</w:t>
      </w:r>
      <w:r w:rsidR="002F741D"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2F741D"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0.002) a</w:t>
      </w:r>
      <w:r w:rsidR="009D470E" w:rsidRPr="00004507">
        <w:rPr>
          <w:rFonts w:ascii="Arial" w:hAnsi="Arial" w:cs="Arial"/>
          <w:color w:val="000000" w:themeColor="text1"/>
          <w:lang w:val="en-US"/>
        </w:rPr>
        <w:t xml:space="preserve">nd MD was correlated with </w:t>
      </w:r>
      <w:r w:rsidR="005F3465" w:rsidRPr="00004507">
        <w:rPr>
          <w:rFonts w:ascii="Arial" w:hAnsi="Arial" w:cs="Arial"/>
          <w:color w:val="000000" w:themeColor="text1"/>
          <w:lang w:val="en-US"/>
        </w:rPr>
        <w:t xml:space="preserve">the </w:t>
      </w:r>
      <w:r w:rsidR="009D470E" w:rsidRPr="00004507">
        <w:rPr>
          <w:rFonts w:ascii="Arial" w:hAnsi="Arial" w:cs="Arial"/>
          <w:i/>
          <w:color w:val="000000" w:themeColor="text1"/>
          <w:lang w:val="en-US"/>
        </w:rPr>
        <w:t xml:space="preserve">PON1 </w:t>
      </w:r>
      <w:r w:rsidR="009D470E" w:rsidRPr="00004507">
        <w:rPr>
          <w:rFonts w:ascii="Arial" w:hAnsi="Arial" w:cs="Arial"/>
          <w:i/>
          <w:color w:val="000000"/>
          <w:lang w:val="en-US"/>
        </w:rPr>
        <w:t>−</w:t>
      </w:r>
      <w:r w:rsidR="00954979" w:rsidRPr="00004507">
        <w:rPr>
          <w:rFonts w:ascii="Arial" w:hAnsi="Arial" w:cs="Arial"/>
          <w:i/>
          <w:color w:val="000000" w:themeColor="text1"/>
          <w:lang w:val="en-US"/>
        </w:rPr>
        <w:t>107T/C</w:t>
      </w:r>
      <w:r w:rsidR="00954979" w:rsidRPr="00004507">
        <w:rPr>
          <w:rFonts w:ascii="Arial" w:hAnsi="Arial" w:cs="Arial"/>
          <w:color w:val="000000" w:themeColor="text1"/>
          <w:lang w:val="en-US"/>
        </w:rPr>
        <w:t xml:space="preserve"> genotypes (</w:t>
      </w:r>
      <w:r w:rsidR="00B56580" w:rsidRPr="00004507">
        <w:rPr>
          <w:rFonts w:ascii="Arial" w:hAnsi="Arial" w:cs="Arial"/>
          <w:i/>
          <w:color w:val="000000" w:themeColor="text1"/>
          <w:lang w:val="en-US"/>
        </w:rPr>
        <w:t>r</w:t>
      </w:r>
      <w:r w:rsidR="00B56580"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 0.199, P</w:t>
      </w:r>
      <w:r w:rsidR="002F741D"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w:t>
      </w:r>
      <w:r w:rsidR="002F741D" w:rsidRPr="00004507">
        <w:rPr>
          <w:rFonts w:ascii="Arial" w:hAnsi="Arial" w:cs="Arial"/>
          <w:color w:val="000000" w:themeColor="text1"/>
          <w:lang w:val="en-US"/>
        </w:rPr>
        <w:t xml:space="preserve"> </w:t>
      </w:r>
      <w:r w:rsidR="00954979" w:rsidRPr="00004507">
        <w:rPr>
          <w:rFonts w:ascii="Arial" w:hAnsi="Arial" w:cs="Arial"/>
          <w:color w:val="000000" w:themeColor="text1"/>
          <w:lang w:val="en-US"/>
        </w:rPr>
        <w:t xml:space="preserve">0.014). </w:t>
      </w:r>
      <w:r w:rsidR="00603227" w:rsidRPr="00004507">
        <w:rPr>
          <w:rFonts w:ascii="Arial" w:hAnsi="Arial" w:cs="Arial"/>
          <w:color w:val="000000" w:themeColor="text1"/>
          <w:lang w:val="en-US"/>
        </w:rPr>
        <w:t xml:space="preserve">  </w:t>
      </w:r>
    </w:p>
    <w:p w14:paraId="33BAA811" w14:textId="693FC346" w:rsidR="00A16A97" w:rsidRPr="00004507" w:rsidRDefault="00A6577E" w:rsidP="00C15EA2">
      <w:pPr>
        <w:spacing w:after="240" w:line="276" w:lineRule="auto"/>
        <w:jc w:val="both"/>
        <w:rPr>
          <w:rFonts w:ascii="Arial" w:hAnsi="Arial" w:cs="Arial"/>
          <w:color w:val="000000" w:themeColor="text1"/>
          <w:lang w:val="en-US"/>
        </w:rPr>
      </w:pPr>
      <w:r w:rsidRPr="00004507">
        <w:rPr>
          <w:rFonts w:ascii="Arial" w:hAnsi="Arial" w:cs="Arial"/>
          <w:color w:val="000000" w:themeColor="text1"/>
          <w:lang w:val="en-US"/>
        </w:rPr>
        <w:t xml:space="preserve">Logistic regression analysis was performed with </w:t>
      </w:r>
      <w:r w:rsidR="00856FC9" w:rsidRPr="00004507">
        <w:rPr>
          <w:rFonts w:ascii="Arial" w:hAnsi="Arial" w:cs="Arial"/>
          <w:color w:val="000000" w:themeColor="text1"/>
          <w:lang w:val="en-US"/>
        </w:rPr>
        <w:t xml:space="preserve">the </w:t>
      </w:r>
      <w:r w:rsidRPr="00004507">
        <w:rPr>
          <w:rFonts w:ascii="Arial" w:hAnsi="Arial" w:cs="Arial"/>
          <w:i/>
          <w:color w:val="000000" w:themeColor="text1"/>
          <w:lang w:val="en-US"/>
        </w:rPr>
        <w:t>PON1 192Q/R</w:t>
      </w:r>
      <w:r w:rsidRPr="00004507">
        <w:rPr>
          <w:rFonts w:ascii="Arial" w:hAnsi="Arial" w:cs="Arial"/>
          <w:color w:val="000000" w:themeColor="text1"/>
          <w:lang w:val="en-US"/>
        </w:rPr>
        <w:t xml:space="preserve">, </w:t>
      </w:r>
      <w:r w:rsidR="00054321" w:rsidRPr="00004507">
        <w:rPr>
          <w:rFonts w:ascii="Arial" w:hAnsi="Arial" w:cs="Arial"/>
          <w:i/>
          <w:color w:val="000000" w:themeColor="text1"/>
          <w:lang w:val="en-US"/>
        </w:rPr>
        <w:t>55L/M</w:t>
      </w:r>
      <w:r w:rsidR="00054321" w:rsidRPr="00004507">
        <w:rPr>
          <w:rFonts w:ascii="Arial" w:hAnsi="Arial" w:cs="Arial"/>
          <w:color w:val="000000" w:themeColor="text1"/>
          <w:lang w:val="en-US"/>
        </w:rPr>
        <w:t xml:space="preserve"> and </w:t>
      </w:r>
      <w:r w:rsidR="00054321" w:rsidRPr="00004507">
        <w:rPr>
          <w:rFonts w:ascii="Arial" w:hAnsi="Arial" w:cs="Arial"/>
          <w:i/>
          <w:color w:val="000000" w:themeColor="text1"/>
          <w:lang w:val="en-US"/>
        </w:rPr>
        <w:t>−</w:t>
      </w:r>
      <w:r w:rsidR="00144B94" w:rsidRPr="00004507">
        <w:rPr>
          <w:rFonts w:ascii="Arial" w:hAnsi="Arial" w:cs="Arial"/>
          <w:i/>
          <w:color w:val="000000" w:themeColor="text1"/>
          <w:lang w:val="en-US"/>
        </w:rPr>
        <w:t>107T/C</w:t>
      </w:r>
      <w:r w:rsidR="00144B94" w:rsidRPr="00004507">
        <w:rPr>
          <w:rFonts w:ascii="Arial" w:hAnsi="Arial" w:cs="Arial"/>
          <w:color w:val="000000" w:themeColor="text1"/>
          <w:lang w:val="en-US"/>
        </w:rPr>
        <w:t xml:space="preserve"> genotype</w:t>
      </w:r>
      <w:r w:rsidR="00856FC9" w:rsidRPr="00004507">
        <w:rPr>
          <w:rFonts w:ascii="Arial" w:hAnsi="Arial" w:cs="Arial"/>
          <w:color w:val="000000" w:themeColor="text1"/>
          <w:lang w:val="en-US"/>
        </w:rPr>
        <w:t>s</w:t>
      </w:r>
      <w:r w:rsidR="00144B94" w:rsidRPr="00004507">
        <w:rPr>
          <w:rFonts w:ascii="Arial" w:hAnsi="Arial" w:cs="Arial"/>
          <w:color w:val="000000" w:themeColor="text1"/>
          <w:lang w:val="en-US"/>
        </w:rPr>
        <w:t xml:space="preserve">, </w:t>
      </w:r>
      <w:r w:rsidR="00856FC9" w:rsidRPr="00004507">
        <w:rPr>
          <w:rFonts w:ascii="Arial" w:hAnsi="Arial" w:cs="Arial"/>
          <w:color w:val="000000" w:themeColor="text1"/>
          <w:lang w:val="en-US"/>
        </w:rPr>
        <w:t xml:space="preserve">and the </w:t>
      </w:r>
      <w:r w:rsidR="00144B94" w:rsidRPr="00004507">
        <w:rPr>
          <w:rFonts w:ascii="Arial" w:hAnsi="Arial" w:cs="Arial"/>
          <w:color w:val="000000" w:themeColor="text1"/>
          <w:lang w:val="en-US"/>
        </w:rPr>
        <w:t xml:space="preserve">age, sex, hypertension, diabetes, cardiovascular disease, smoking, IOP, </w:t>
      </w:r>
      <w:r w:rsidR="002A6632" w:rsidRPr="00004507">
        <w:rPr>
          <w:rFonts w:ascii="Arial" w:hAnsi="Arial" w:cs="Arial"/>
          <w:color w:val="000000" w:themeColor="text1"/>
          <w:lang w:val="en-US"/>
        </w:rPr>
        <w:t xml:space="preserve">VFS, </w:t>
      </w:r>
      <w:r w:rsidR="00144B94" w:rsidRPr="00004507">
        <w:rPr>
          <w:rFonts w:ascii="Arial" w:hAnsi="Arial" w:cs="Arial"/>
          <w:color w:val="000000" w:themeColor="text1"/>
          <w:lang w:val="en-US"/>
        </w:rPr>
        <w:t xml:space="preserve">MD and PSD </w:t>
      </w:r>
      <w:r w:rsidRPr="00004507">
        <w:rPr>
          <w:rFonts w:ascii="Arial" w:hAnsi="Arial" w:cs="Arial"/>
          <w:color w:val="000000" w:themeColor="text1"/>
          <w:lang w:val="en-US"/>
        </w:rPr>
        <w:t xml:space="preserve">parameters </w:t>
      </w:r>
      <w:r w:rsidR="00856FC9" w:rsidRPr="00004507">
        <w:rPr>
          <w:rFonts w:ascii="Arial" w:hAnsi="Arial" w:cs="Arial"/>
          <w:color w:val="000000" w:themeColor="text1"/>
          <w:lang w:val="en-US"/>
        </w:rPr>
        <w:t>entered on step 1.</w:t>
      </w:r>
      <w:r w:rsidR="00E77C29" w:rsidRPr="00004507">
        <w:rPr>
          <w:rFonts w:ascii="Arial" w:hAnsi="Arial" w:cs="Arial"/>
          <w:color w:val="000000" w:themeColor="text1"/>
          <w:lang w:val="en-US"/>
        </w:rPr>
        <w:t xml:space="preserve"> </w:t>
      </w:r>
      <w:r w:rsidRPr="00004507">
        <w:rPr>
          <w:rFonts w:ascii="Arial" w:hAnsi="Arial" w:cs="Arial"/>
          <w:color w:val="000000" w:themeColor="text1"/>
          <w:lang w:val="en-US"/>
        </w:rPr>
        <w:t xml:space="preserve">In the bivariate regression analysis </w:t>
      </w:r>
      <w:r w:rsidR="009B780C" w:rsidRPr="00004507">
        <w:rPr>
          <w:rFonts w:ascii="Arial" w:hAnsi="Arial" w:cs="Arial"/>
          <w:color w:val="000000" w:themeColor="text1"/>
          <w:lang w:val="en-US"/>
        </w:rPr>
        <w:t>using the b</w:t>
      </w:r>
      <w:r w:rsidRPr="00004507">
        <w:rPr>
          <w:rFonts w:ascii="Arial" w:hAnsi="Arial" w:cs="Arial"/>
          <w:color w:val="000000" w:themeColor="text1"/>
          <w:lang w:val="en-US"/>
        </w:rPr>
        <w:t xml:space="preserve">ackward LR </w:t>
      </w:r>
      <w:r w:rsidR="009B780C" w:rsidRPr="00004507">
        <w:rPr>
          <w:rFonts w:ascii="Arial" w:hAnsi="Arial" w:cs="Arial"/>
          <w:color w:val="000000" w:themeColor="text1"/>
          <w:lang w:val="en-US"/>
        </w:rPr>
        <w:t>method</w:t>
      </w:r>
      <w:r w:rsidRPr="00004507">
        <w:rPr>
          <w:rFonts w:ascii="Arial" w:hAnsi="Arial" w:cs="Arial"/>
          <w:color w:val="000000" w:themeColor="text1"/>
          <w:lang w:val="en-US"/>
        </w:rPr>
        <w:t>, only</w:t>
      </w:r>
      <w:r w:rsidR="009B780C" w:rsidRPr="00004507">
        <w:rPr>
          <w:rFonts w:ascii="Arial" w:hAnsi="Arial" w:cs="Arial"/>
          <w:color w:val="000000" w:themeColor="text1"/>
          <w:lang w:val="en-US"/>
        </w:rPr>
        <w:t xml:space="preserve"> a</w:t>
      </w:r>
      <w:r w:rsidRPr="00004507">
        <w:rPr>
          <w:rFonts w:ascii="Arial" w:hAnsi="Arial" w:cs="Arial"/>
          <w:color w:val="000000" w:themeColor="text1"/>
          <w:lang w:val="en-US"/>
        </w:rPr>
        <w:t xml:space="preserve"> PEG</w:t>
      </w:r>
      <w:r w:rsidR="009B780C" w:rsidRPr="00004507">
        <w:rPr>
          <w:rFonts w:ascii="Arial" w:hAnsi="Arial" w:cs="Arial"/>
          <w:color w:val="000000" w:themeColor="text1"/>
          <w:lang w:val="en-US"/>
        </w:rPr>
        <w:t>–control, PEX–control or PEG–</w:t>
      </w:r>
      <w:r w:rsidR="00F234A9" w:rsidRPr="00004507">
        <w:rPr>
          <w:rFonts w:ascii="Arial" w:hAnsi="Arial" w:cs="Arial"/>
          <w:color w:val="000000" w:themeColor="text1"/>
          <w:lang w:val="en-US"/>
        </w:rPr>
        <w:t>PEX</w:t>
      </w:r>
      <w:r w:rsidRPr="00004507">
        <w:rPr>
          <w:rFonts w:ascii="Arial" w:hAnsi="Arial" w:cs="Arial"/>
          <w:color w:val="000000" w:themeColor="text1"/>
          <w:lang w:val="en-US"/>
        </w:rPr>
        <w:t xml:space="preserve"> risk analysis was perf</w:t>
      </w:r>
      <w:r w:rsidR="00F234A9" w:rsidRPr="00004507">
        <w:rPr>
          <w:rFonts w:ascii="Arial" w:hAnsi="Arial" w:cs="Arial"/>
          <w:color w:val="000000" w:themeColor="text1"/>
          <w:lang w:val="en-US"/>
        </w:rPr>
        <w:t>ormed at each time.</w:t>
      </w:r>
      <w:r w:rsidR="007B5A22" w:rsidRPr="00004507">
        <w:rPr>
          <w:rFonts w:ascii="Arial" w:hAnsi="Arial" w:cs="Arial"/>
          <w:color w:val="000000" w:themeColor="text1"/>
          <w:lang w:val="en-US"/>
        </w:rPr>
        <w:t xml:space="preserve"> The</w:t>
      </w:r>
      <w:r w:rsidR="00F234A9" w:rsidRPr="00004507">
        <w:rPr>
          <w:rFonts w:ascii="Arial" w:hAnsi="Arial" w:cs="Arial"/>
          <w:color w:val="000000" w:themeColor="text1"/>
          <w:lang w:val="en-US"/>
        </w:rPr>
        <w:t xml:space="preserve"> </w:t>
      </w:r>
      <w:r w:rsidR="00054321" w:rsidRPr="00004507">
        <w:rPr>
          <w:rFonts w:ascii="Arial" w:hAnsi="Arial" w:cs="Arial"/>
          <w:i/>
          <w:color w:val="000000" w:themeColor="text1"/>
          <w:lang w:val="en-US"/>
        </w:rPr>
        <w:t>PON1 −</w:t>
      </w:r>
      <w:r w:rsidR="00A16A97" w:rsidRPr="00004507">
        <w:rPr>
          <w:rFonts w:ascii="Arial" w:hAnsi="Arial" w:cs="Arial"/>
          <w:i/>
          <w:color w:val="000000" w:themeColor="text1"/>
          <w:lang w:val="en-US"/>
        </w:rPr>
        <w:t>107TC</w:t>
      </w:r>
      <w:r w:rsidR="005944D0" w:rsidRPr="00004507">
        <w:rPr>
          <w:rFonts w:ascii="Arial" w:hAnsi="Arial" w:cs="Arial"/>
          <w:color w:val="000000" w:themeColor="text1"/>
          <w:lang w:val="en-US"/>
        </w:rPr>
        <w:t xml:space="preserve"> </w:t>
      </w:r>
      <w:r w:rsidR="00A16A97" w:rsidRPr="00004507">
        <w:rPr>
          <w:rFonts w:ascii="Arial" w:hAnsi="Arial" w:cs="Arial"/>
          <w:color w:val="000000" w:themeColor="text1"/>
          <w:lang w:val="en-US"/>
        </w:rPr>
        <w:t>+</w:t>
      </w:r>
      <w:r w:rsidR="005944D0" w:rsidRPr="00004507">
        <w:rPr>
          <w:rFonts w:ascii="Arial" w:hAnsi="Arial" w:cs="Arial"/>
          <w:color w:val="000000" w:themeColor="text1"/>
          <w:lang w:val="en-US"/>
        </w:rPr>
        <w:t xml:space="preserve"> </w:t>
      </w:r>
      <w:r w:rsidR="00A16A97" w:rsidRPr="00004507">
        <w:rPr>
          <w:rFonts w:ascii="Arial" w:hAnsi="Arial" w:cs="Arial"/>
          <w:i/>
          <w:color w:val="000000" w:themeColor="text1"/>
          <w:lang w:val="en-US"/>
        </w:rPr>
        <w:t>CC</w:t>
      </w:r>
      <w:r w:rsidR="00A16A97" w:rsidRPr="00004507">
        <w:rPr>
          <w:rFonts w:ascii="Arial" w:hAnsi="Arial" w:cs="Arial"/>
          <w:color w:val="000000" w:themeColor="text1"/>
          <w:lang w:val="en-US"/>
        </w:rPr>
        <w:t xml:space="preserve"> genotype was found to be significantly associated with</w:t>
      </w:r>
      <w:r w:rsidR="00304A02" w:rsidRPr="00004507">
        <w:rPr>
          <w:rFonts w:ascii="Arial" w:hAnsi="Arial" w:cs="Arial"/>
          <w:color w:val="000000" w:themeColor="text1"/>
          <w:lang w:val="en-US"/>
        </w:rPr>
        <w:t xml:space="preserve"> the</w:t>
      </w:r>
      <w:r w:rsidR="00A16A97" w:rsidRPr="00004507">
        <w:rPr>
          <w:rFonts w:ascii="Arial" w:hAnsi="Arial" w:cs="Arial"/>
          <w:color w:val="000000" w:themeColor="text1"/>
          <w:lang w:val="en-US"/>
        </w:rPr>
        <w:t xml:space="preserve"> PEX </w:t>
      </w:r>
      <w:r w:rsidR="00304A02" w:rsidRPr="00004507">
        <w:rPr>
          <w:rFonts w:ascii="Arial" w:hAnsi="Arial" w:cs="Arial"/>
          <w:color w:val="000000" w:themeColor="text1"/>
          <w:lang w:val="en-US"/>
        </w:rPr>
        <w:t xml:space="preserve">group </w:t>
      </w:r>
      <w:r w:rsidR="00E531F1" w:rsidRPr="00004507">
        <w:rPr>
          <w:rFonts w:ascii="Arial" w:hAnsi="Arial" w:cs="Arial"/>
          <w:color w:val="000000" w:themeColor="text1"/>
          <w:lang w:val="en-US"/>
        </w:rPr>
        <w:t xml:space="preserve">compared with the </w:t>
      </w:r>
      <w:r w:rsidR="00A16A97" w:rsidRPr="00004507">
        <w:rPr>
          <w:rFonts w:ascii="Arial" w:hAnsi="Arial" w:cs="Arial"/>
          <w:color w:val="000000" w:themeColor="text1"/>
          <w:lang w:val="en-US"/>
        </w:rPr>
        <w:t>control (OR</w:t>
      </w:r>
      <w:r w:rsidR="00E531F1" w:rsidRPr="00004507">
        <w:rPr>
          <w:rFonts w:ascii="Arial" w:hAnsi="Arial" w:cs="Arial"/>
          <w:color w:val="000000" w:themeColor="text1"/>
          <w:lang w:val="en-US"/>
        </w:rPr>
        <w:t xml:space="preserve"> </w:t>
      </w:r>
      <w:r w:rsidR="00A16A97" w:rsidRPr="00004507">
        <w:rPr>
          <w:rFonts w:ascii="Arial" w:hAnsi="Arial" w:cs="Arial"/>
          <w:color w:val="000000" w:themeColor="text1"/>
          <w:lang w:val="en-US"/>
        </w:rPr>
        <w:t>=</w:t>
      </w:r>
      <w:r w:rsidR="00E531F1" w:rsidRPr="00004507">
        <w:rPr>
          <w:rFonts w:ascii="Arial" w:hAnsi="Arial" w:cs="Arial"/>
          <w:color w:val="000000" w:themeColor="text1"/>
          <w:lang w:val="en-US"/>
        </w:rPr>
        <w:t xml:space="preserve"> </w:t>
      </w:r>
      <w:r w:rsidR="002A6632" w:rsidRPr="00004507">
        <w:rPr>
          <w:rFonts w:ascii="Arial" w:hAnsi="Arial" w:cs="Arial"/>
          <w:color w:val="000000" w:themeColor="text1"/>
          <w:lang w:val="en-US"/>
        </w:rPr>
        <w:t>1.909, 95% CI</w:t>
      </w:r>
      <w:r w:rsidR="00E531F1" w:rsidRPr="00004507">
        <w:rPr>
          <w:rFonts w:ascii="Arial" w:hAnsi="Arial" w:cs="Arial"/>
          <w:color w:val="000000" w:themeColor="text1"/>
          <w:lang w:val="en-US"/>
        </w:rPr>
        <w:t xml:space="preserve"> </w:t>
      </w:r>
      <w:r w:rsidR="002A6632" w:rsidRPr="00004507">
        <w:rPr>
          <w:rFonts w:ascii="Arial" w:hAnsi="Arial" w:cs="Arial"/>
          <w:color w:val="000000" w:themeColor="text1"/>
          <w:lang w:val="en-US"/>
        </w:rPr>
        <w:t>=</w:t>
      </w:r>
      <w:r w:rsidR="00E531F1" w:rsidRPr="00004507">
        <w:rPr>
          <w:rFonts w:ascii="Arial" w:hAnsi="Arial" w:cs="Arial"/>
          <w:color w:val="000000" w:themeColor="text1"/>
          <w:lang w:val="en-US"/>
        </w:rPr>
        <w:t xml:space="preserve"> </w:t>
      </w:r>
      <w:r w:rsidR="002A6632" w:rsidRPr="00004507">
        <w:rPr>
          <w:rFonts w:ascii="Arial" w:hAnsi="Arial" w:cs="Arial"/>
          <w:color w:val="000000" w:themeColor="text1"/>
          <w:lang w:val="en-US"/>
        </w:rPr>
        <w:t>1.107–</w:t>
      </w:r>
      <w:r w:rsidR="00A16A97" w:rsidRPr="00004507">
        <w:rPr>
          <w:rFonts w:ascii="Arial" w:hAnsi="Arial" w:cs="Arial"/>
          <w:color w:val="000000" w:themeColor="text1"/>
          <w:lang w:val="en-US"/>
        </w:rPr>
        <w:t>3.293, P=0.020</w:t>
      </w:r>
      <w:r w:rsidR="00A205F7" w:rsidRPr="00004507">
        <w:rPr>
          <w:rFonts w:ascii="Arial" w:hAnsi="Arial" w:cs="Arial"/>
          <w:color w:val="000000" w:themeColor="text1"/>
          <w:lang w:val="en-US"/>
        </w:rPr>
        <w:t>)</w:t>
      </w:r>
      <w:r w:rsidR="00A16A97" w:rsidRPr="00004507">
        <w:rPr>
          <w:rFonts w:ascii="Arial" w:hAnsi="Arial" w:cs="Arial"/>
          <w:color w:val="000000" w:themeColor="text1"/>
          <w:lang w:val="en-US"/>
        </w:rPr>
        <w:t xml:space="preserve">. No parameter was found to be a significant predictor </w:t>
      </w:r>
      <w:r w:rsidR="00E531F1" w:rsidRPr="00004507">
        <w:rPr>
          <w:rFonts w:ascii="Arial" w:hAnsi="Arial" w:cs="Arial"/>
          <w:color w:val="000000" w:themeColor="text1"/>
          <w:lang w:val="en-US"/>
        </w:rPr>
        <w:t xml:space="preserve">through the </w:t>
      </w:r>
      <w:r w:rsidR="00A16A97" w:rsidRPr="00004507">
        <w:rPr>
          <w:rFonts w:ascii="Arial" w:hAnsi="Arial" w:cs="Arial"/>
          <w:color w:val="000000" w:themeColor="text1"/>
          <w:lang w:val="en-US"/>
        </w:rPr>
        <w:t>PEG</w:t>
      </w:r>
      <w:r w:rsidR="00E531F1" w:rsidRPr="00004507">
        <w:rPr>
          <w:rFonts w:ascii="Arial" w:hAnsi="Arial" w:cs="Arial"/>
          <w:color w:val="000000" w:themeColor="text1"/>
          <w:lang w:val="en-US"/>
        </w:rPr>
        <w:t>–</w:t>
      </w:r>
      <w:r w:rsidR="00A16A97" w:rsidRPr="00004507">
        <w:rPr>
          <w:rFonts w:ascii="Arial" w:hAnsi="Arial" w:cs="Arial"/>
          <w:color w:val="000000" w:themeColor="text1"/>
          <w:lang w:val="en-US"/>
        </w:rPr>
        <w:t>control and PEG</w:t>
      </w:r>
      <w:r w:rsidR="00E531F1" w:rsidRPr="00004507">
        <w:rPr>
          <w:rFonts w:ascii="Arial" w:hAnsi="Arial" w:cs="Arial"/>
          <w:color w:val="000000" w:themeColor="text1"/>
          <w:lang w:val="en-US"/>
        </w:rPr>
        <w:t>–</w:t>
      </w:r>
      <w:r w:rsidR="00A16A97" w:rsidRPr="00004507">
        <w:rPr>
          <w:rFonts w:ascii="Arial" w:hAnsi="Arial" w:cs="Arial"/>
          <w:color w:val="000000" w:themeColor="text1"/>
          <w:lang w:val="en-US"/>
        </w:rPr>
        <w:t xml:space="preserve">PEX </w:t>
      </w:r>
      <w:r w:rsidR="00E531F1" w:rsidRPr="00004507">
        <w:rPr>
          <w:rFonts w:ascii="Arial" w:hAnsi="Arial" w:cs="Arial"/>
          <w:color w:val="000000" w:themeColor="text1"/>
          <w:lang w:val="en-US"/>
        </w:rPr>
        <w:t>comparisons</w:t>
      </w:r>
      <w:r w:rsidR="00A16A97" w:rsidRPr="00004507">
        <w:rPr>
          <w:rFonts w:ascii="Arial" w:hAnsi="Arial" w:cs="Arial"/>
          <w:color w:val="000000" w:themeColor="text1"/>
          <w:lang w:val="en-US"/>
        </w:rPr>
        <w:t>. T</w:t>
      </w:r>
      <w:r w:rsidR="008E6A17" w:rsidRPr="00004507">
        <w:rPr>
          <w:rFonts w:ascii="Arial" w:hAnsi="Arial" w:cs="Arial"/>
          <w:color w:val="000000" w:themeColor="text1"/>
          <w:lang w:val="en-US"/>
        </w:rPr>
        <w:t>he model correctly predicted 60</w:t>
      </w:r>
      <w:r w:rsidR="00A16A97" w:rsidRPr="00004507">
        <w:rPr>
          <w:rFonts w:ascii="Arial" w:hAnsi="Arial" w:cs="Arial"/>
          <w:color w:val="000000" w:themeColor="text1"/>
          <w:lang w:val="en-US"/>
        </w:rPr>
        <w:t>% of the cases</w:t>
      </w:r>
      <w:r w:rsidR="008E6A17" w:rsidRPr="00004507">
        <w:rPr>
          <w:rFonts w:ascii="Arial" w:hAnsi="Arial" w:cs="Arial"/>
          <w:color w:val="000000" w:themeColor="text1"/>
          <w:lang w:val="en-US"/>
        </w:rPr>
        <w:t>,</w:t>
      </w:r>
      <w:r w:rsidR="00A16A97" w:rsidRPr="00004507">
        <w:rPr>
          <w:rFonts w:ascii="Arial" w:hAnsi="Arial" w:cs="Arial"/>
          <w:color w:val="000000" w:themeColor="text1"/>
          <w:lang w:val="en-US"/>
        </w:rPr>
        <w:t xml:space="preserve"> and the </w:t>
      </w:r>
      <w:proofErr w:type="spellStart"/>
      <w:r w:rsidR="00A16A97" w:rsidRPr="00004507">
        <w:rPr>
          <w:rFonts w:ascii="Arial" w:hAnsi="Arial" w:cs="Arial"/>
          <w:color w:val="000000" w:themeColor="text1"/>
          <w:lang w:val="en-US"/>
        </w:rPr>
        <w:t>Hosmer</w:t>
      </w:r>
      <w:proofErr w:type="spellEnd"/>
      <w:r w:rsidR="00A16A97" w:rsidRPr="00004507">
        <w:rPr>
          <w:rFonts w:ascii="Arial" w:hAnsi="Arial" w:cs="Arial"/>
          <w:color w:val="000000" w:themeColor="text1"/>
          <w:lang w:val="en-US"/>
        </w:rPr>
        <w:t>–</w:t>
      </w:r>
      <w:proofErr w:type="spellStart"/>
      <w:r w:rsidR="00A16A97" w:rsidRPr="00004507">
        <w:rPr>
          <w:rFonts w:ascii="Arial" w:hAnsi="Arial" w:cs="Arial"/>
          <w:color w:val="000000" w:themeColor="text1"/>
          <w:lang w:val="en-US"/>
        </w:rPr>
        <w:t>Lemeshow</w:t>
      </w:r>
      <w:proofErr w:type="spellEnd"/>
      <w:r w:rsidR="00A16A97" w:rsidRPr="00004507">
        <w:rPr>
          <w:rFonts w:ascii="Arial" w:hAnsi="Arial" w:cs="Arial"/>
          <w:color w:val="000000" w:themeColor="text1"/>
          <w:lang w:val="en-US"/>
        </w:rPr>
        <w:t xml:space="preserve"> goodness-of-fit test demonstrated that the calibration of the model was satisfactory (χ</w:t>
      </w:r>
      <w:r w:rsidR="00A16A97" w:rsidRPr="00004507">
        <w:rPr>
          <w:rFonts w:ascii="Arial" w:hAnsi="Arial" w:cs="Arial"/>
          <w:color w:val="000000" w:themeColor="text1"/>
          <w:vertAlign w:val="superscript"/>
          <w:lang w:val="en-US"/>
        </w:rPr>
        <w:t>2</w:t>
      </w:r>
      <w:r w:rsidR="008E6A17" w:rsidRPr="00004507">
        <w:rPr>
          <w:rFonts w:ascii="Arial" w:hAnsi="Arial" w:cs="Arial"/>
          <w:color w:val="000000" w:themeColor="text1"/>
          <w:lang w:val="en-US"/>
        </w:rPr>
        <w:t xml:space="preserve"> = 9.</w:t>
      </w:r>
      <w:r w:rsidR="00A16A97" w:rsidRPr="00004507">
        <w:rPr>
          <w:rFonts w:ascii="Arial" w:hAnsi="Arial" w:cs="Arial"/>
          <w:color w:val="000000" w:themeColor="text1"/>
          <w:lang w:val="en-US"/>
        </w:rPr>
        <w:t xml:space="preserve">854, 8 </w:t>
      </w:r>
      <w:proofErr w:type="spellStart"/>
      <w:proofErr w:type="gramStart"/>
      <w:r w:rsidR="00A16A97" w:rsidRPr="00004507">
        <w:rPr>
          <w:rFonts w:ascii="Arial" w:hAnsi="Arial" w:cs="Arial"/>
          <w:color w:val="000000" w:themeColor="text1"/>
          <w:lang w:val="en-US"/>
        </w:rPr>
        <w:t>df</w:t>
      </w:r>
      <w:proofErr w:type="spellEnd"/>
      <w:proofErr w:type="gramEnd"/>
      <w:r w:rsidR="00A16A97" w:rsidRPr="00004507">
        <w:rPr>
          <w:rFonts w:ascii="Arial" w:hAnsi="Arial" w:cs="Arial"/>
          <w:color w:val="000000" w:themeColor="text1"/>
          <w:lang w:val="en-US"/>
        </w:rPr>
        <w:t>, P</w:t>
      </w:r>
      <w:r w:rsidR="008E6A17" w:rsidRPr="00004507">
        <w:rPr>
          <w:rFonts w:ascii="Arial" w:hAnsi="Arial" w:cs="Arial"/>
          <w:color w:val="000000" w:themeColor="text1"/>
          <w:lang w:val="en-US"/>
        </w:rPr>
        <w:t xml:space="preserve"> </w:t>
      </w:r>
      <w:r w:rsidR="00A16A97" w:rsidRPr="00004507">
        <w:rPr>
          <w:rFonts w:ascii="Arial" w:hAnsi="Arial" w:cs="Arial"/>
          <w:color w:val="000000" w:themeColor="text1"/>
          <w:lang w:val="en-US"/>
        </w:rPr>
        <w:t>=</w:t>
      </w:r>
      <w:r w:rsidR="008E6A17" w:rsidRPr="00004507">
        <w:rPr>
          <w:rFonts w:ascii="Arial" w:hAnsi="Arial" w:cs="Arial"/>
          <w:color w:val="000000" w:themeColor="text1"/>
          <w:lang w:val="en-US"/>
        </w:rPr>
        <w:t xml:space="preserve"> </w:t>
      </w:r>
      <w:r w:rsidR="00A16A97" w:rsidRPr="00004507">
        <w:rPr>
          <w:rFonts w:ascii="Arial" w:hAnsi="Arial" w:cs="Arial"/>
          <w:color w:val="000000" w:themeColor="text1"/>
          <w:lang w:val="en-US"/>
        </w:rPr>
        <w:t xml:space="preserve">0.275) for logistic regression. </w:t>
      </w:r>
    </w:p>
    <w:p w14:paraId="318C2E0E" w14:textId="77777777" w:rsidR="0012292A" w:rsidRPr="00004507" w:rsidRDefault="0012292A" w:rsidP="00C15EA2">
      <w:pPr>
        <w:spacing w:line="276" w:lineRule="auto"/>
        <w:rPr>
          <w:rFonts w:ascii="Arial" w:hAnsi="Arial" w:cs="Arial"/>
          <w:b/>
          <w:color w:val="000000" w:themeColor="text1"/>
          <w:lang w:val="en-US"/>
        </w:rPr>
      </w:pPr>
    </w:p>
    <w:p w14:paraId="360A2923" w14:textId="077BE4DA" w:rsidR="00030E8F" w:rsidRPr="00311F16" w:rsidRDefault="00A14D2A" w:rsidP="00311F16">
      <w:pPr>
        <w:spacing w:line="276" w:lineRule="auto"/>
        <w:rPr>
          <w:rFonts w:ascii="Arial" w:hAnsi="Arial" w:cs="Arial"/>
          <w:b/>
          <w:color w:val="000000" w:themeColor="text1"/>
          <w:lang w:val="en-US"/>
        </w:rPr>
      </w:pPr>
      <w:r w:rsidRPr="00311F16">
        <w:rPr>
          <w:rFonts w:ascii="Arial" w:hAnsi="Arial" w:cs="Arial"/>
          <w:b/>
          <w:color w:val="000000" w:themeColor="text1"/>
          <w:lang w:val="en-US"/>
        </w:rPr>
        <w:t>Discussion</w:t>
      </w:r>
    </w:p>
    <w:p w14:paraId="60B33805" w14:textId="66FD2E9C" w:rsidR="00A750B3" w:rsidRPr="00004507" w:rsidRDefault="00A750B3" w:rsidP="00C15EA2">
      <w:pPr>
        <w:spacing w:line="276" w:lineRule="auto"/>
        <w:jc w:val="both"/>
        <w:rPr>
          <w:rFonts w:ascii="Arial" w:hAnsi="Arial" w:cs="Arial"/>
          <w:color w:val="000000" w:themeColor="text1"/>
          <w:shd w:val="clear" w:color="auto" w:fill="FFFFFF"/>
          <w:lang w:val="en-US"/>
        </w:rPr>
      </w:pPr>
      <w:r w:rsidRPr="00004507">
        <w:rPr>
          <w:rFonts w:ascii="Arial" w:hAnsi="Arial" w:cs="Arial"/>
          <w:color w:val="000000" w:themeColor="text1"/>
          <w:shd w:val="clear" w:color="auto" w:fill="FFFFFF"/>
          <w:lang w:val="en-US"/>
        </w:rPr>
        <w:t>Glaucoma is one of the leading causes of bli</w:t>
      </w:r>
      <w:r w:rsidR="00AA5209" w:rsidRPr="00004507">
        <w:rPr>
          <w:rFonts w:ascii="Arial" w:hAnsi="Arial" w:cs="Arial"/>
          <w:color w:val="000000" w:themeColor="text1"/>
          <w:shd w:val="clear" w:color="auto" w:fill="FFFFFF"/>
          <w:lang w:val="en-US"/>
        </w:rPr>
        <w:t>ndness in the elderly,</w:t>
      </w:r>
      <w:r w:rsidRPr="00004507">
        <w:rPr>
          <w:rFonts w:ascii="Arial" w:hAnsi="Arial" w:cs="Arial"/>
          <w:color w:val="000000" w:themeColor="text1"/>
          <w:shd w:val="clear" w:color="auto" w:fill="FFFFFF"/>
          <w:lang w:val="en-US"/>
        </w:rPr>
        <w:t xml:space="preserve"> and </w:t>
      </w:r>
      <w:r w:rsidR="00AA5209" w:rsidRPr="00004507">
        <w:rPr>
          <w:rFonts w:ascii="Arial" w:hAnsi="Arial" w:cs="Arial"/>
          <w:color w:val="000000" w:themeColor="text1"/>
          <w:shd w:val="clear" w:color="auto" w:fill="FFFFFF"/>
          <w:lang w:val="en-US"/>
        </w:rPr>
        <w:t xml:space="preserve">PEG </w:t>
      </w:r>
      <w:r w:rsidRPr="00004507">
        <w:rPr>
          <w:rFonts w:ascii="Arial" w:hAnsi="Arial" w:cs="Arial"/>
          <w:color w:val="000000" w:themeColor="text1"/>
          <w:shd w:val="clear" w:color="auto" w:fill="FFFFFF"/>
          <w:lang w:val="en-US"/>
        </w:rPr>
        <w:t xml:space="preserve">is one of the rare forms of glaucoma. As previously </w:t>
      </w:r>
      <w:r w:rsidR="00AA5209" w:rsidRPr="00004507">
        <w:rPr>
          <w:rFonts w:ascii="Arial" w:hAnsi="Arial" w:cs="Arial"/>
          <w:color w:val="000000" w:themeColor="text1"/>
          <w:shd w:val="clear" w:color="auto" w:fill="FFFFFF"/>
          <w:lang w:val="en-US"/>
        </w:rPr>
        <w:t>mentioned</w:t>
      </w:r>
      <w:r w:rsidRPr="00004507">
        <w:rPr>
          <w:rFonts w:ascii="Arial" w:hAnsi="Arial" w:cs="Arial"/>
          <w:color w:val="000000" w:themeColor="text1"/>
          <w:shd w:val="clear" w:color="auto" w:fill="FFFFFF"/>
          <w:lang w:val="en-US"/>
        </w:rPr>
        <w:t xml:space="preserve">, PEX and PEG are insidious diseases; the presence of </w:t>
      </w:r>
      <w:r w:rsidR="00AA5209" w:rsidRPr="00004507">
        <w:rPr>
          <w:rFonts w:ascii="Arial" w:hAnsi="Arial" w:cs="Arial"/>
          <w:color w:val="000000" w:themeColor="text1"/>
          <w:shd w:val="clear" w:color="auto" w:fill="FFFFFF"/>
          <w:lang w:val="en-US"/>
        </w:rPr>
        <w:t>pseudoexfoliation m</w:t>
      </w:r>
      <w:r w:rsidRPr="00004507">
        <w:rPr>
          <w:rFonts w:ascii="Arial" w:hAnsi="Arial" w:cs="Arial"/>
          <w:color w:val="000000" w:themeColor="text1"/>
          <w:shd w:val="clear" w:color="auto" w:fill="FFFFFF"/>
          <w:lang w:val="en-US"/>
        </w:rPr>
        <w:t xml:space="preserve">aterial, even </w:t>
      </w:r>
      <w:r w:rsidR="00661892" w:rsidRPr="00004507">
        <w:rPr>
          <w:rFonts w:ascii="Arial" w:hAnsi="Arial" w:cs="Arial"/>
          <w:color w:val="000000" w:themeColor="text1"/>
          <w:shd w:val="clear" w:color="auto" w:fill="FFFFFF"/>
          <w:lang w:val="en-US"/>
        </w:rPr>
        <w:t xml:space="preserve">with an </w:t>
      </w:r>
      <w:r w:rsidRPr="00004507">
        <w:rPr>
          <w:rFonts w:ascii="Arial" w:hAnsi="Arial" w:cs="Arial"/>
          <w:color w:val="000000" w:themeColor="text1"/>
          <w:shd w:val="clear" w:color="auto" w:fill="FFFFFF"/>
          <w:lang w:val="en-US"/>
        </w:rPr>
        <w:t>increase in IOP</w:t>
      </w:r>
      <w:r w:rsidR="002501BE"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cannot be recognized by patients themse</w:t>
      </w:r>
      <w:r w:rsidR="00DC5C3D" w:rsidRPr="00004507">
        <w:rPr>
          <w:rFonts w:ascii="Arial" w:hAnsi="Arial" w:cs="Arial"/>
          <w:color w:val="000000" w:themeColor="text1"/>
          <w:shd w:val="clear" w:color="auto" w:fill="FFFFFF"/>
          <w:lang w:val="en-US"/>
        </w:rPr>
        <w:t>lves. Moreover, the prognosis for</w:t>
      </w:r>
      <w:r w:rsidRPr="00004507">
        <w:rPr>
          <w:rFonts w:ascii="Arial" w:hAnsi="Arial" w:cs="Arial"/>
          <w:color w:val="000000" w:themeColor="text1"/>
          <w:shd w:val="clear" w:color="auto" w:fill="FFFFFF"/>
          <w:lang w:val="en-US"/>
        </w:rPr>
        <w:t xml:space="preserve"> PEG is worse than </w:t>
      </w:r>
      <w:r w:rsidR="00DC5C3D" w:rsidRPr="00004507">
        <w:rPr>
          <w:rFonts w:ascii="Arial" w:hAnsi="Arial" w:cs="Arial"/>
          <w:color w:val="000000" w:themeColor="text1"/>
          <w:shd w:val="clear" w:color="auto" w:fill="FFFFFF"/>
          <w:lang w:val="en-US"/>
        </w:rPr>
        <w:t xml:space="preserve">that for </w:t>
      </w:r>
      <w:r w:rsidRPr="00004507">
        <w:rPr>
          <w:rFonts w:ascii="Arial" w:hAnsi="Arial" w:cs="Arial"/>
          <w:color w:val="000000" w:themeColor="text1"/>
          <w:shd w:val="clear" w:color="auto" w:fill="FFFFFF"/>
          <w:lang w:val="en-US"/>
        </w:rPr>
        <w:t xml:space="preserve">primary open angle glaucoma (POAG); </w:t>
      </w:r>
      <w:r w:rsidR="00DC5C3D" w:rsidRPr="00004507">
        <w:rPr>
          <w:rFonts w:ascii="Arial" w:hAnsi="Arial" w:cs="Arial"/>
          <w:color w:val="000000" w:themeColor="text1"/>
          <w:shd w:val="clear" w:color="auto" w:fill="FFFFFF"/>
          <w:lang w:val="en-US"/>
        </w:rPr>
        <w:t xml:space="preserve">as the </w:t>
      </w:r>
      <w:r w:rsidRPr="00004507">
        <w:rPr>
          <w:rFonts w:ascii="Arial" w:hAnsi="Arial" w:cs="Arial"/>
          <w:color w:val="000000" w:themeColor="text1"/>
          <w:shd w:val="clear" w:color="auto" w:fill="FFFFFF"/>
          <w:lang w:val="en-US"/>
        </w:rPr>
        <w:t>IOP</w:t>
      </w:r>
      <w:r w:rsidR="00DC5C3D" w:rsidRPr="00004507">
        <w:rPr>
          <w:rFonts w:ascii="Arial" w:hAnsi="Arial" w:cs="Arial"/>
          <w:color w:val="000000" w:themeColor="text1"/>
          <w:shd w:val="clear" w:color="auto" w:fill="FFFFFF"/>
          <w:lang w:val="en-US"/>
        </w:rPr>
        <w:t xml:space="preserve"> in PEG</w:t>
      </w:r>
      <w:r w:rsidRPr="00004507">
        <w:rPr>
          <w:rFonts w:ascii="Arial" w:hAnsi="Arial" w:cs="Arial"/>
          <w:color w:val="000000" w:themeColor="text1"/>
          <w:shd w:val="clear" w:color="auto" w:fill="FFFFFF"/>
          <w:lang w:val="en-US"/>
        </w:rPr>
        <w:t xml:space="preserve"> can rise dramatically within months and is much higher than i</w:t>
      </w:r>
      <w:r w:rsidR="00DC5C3D" w:rsidRPr="00004507">
        <w:rPr>
          <w:rFonts w:ascii="Arial" w:hAnsi="Arial" w:cs="Arial"/>
          <w:color w:val="000000" w:themeColor="text1"/>
          <w:shd w:val="clear" w:color="auto" w:fill="FFFFFF"/>
          <w:lang w:val="en-US"/>
        </w:rPr>
        <w:t>n POAG. IOP-lowering medication</w:t>
      </w:r>
      <w:r w:rsidRPr="00004507">
        <w:rPr>
          <w:rFonts w:ascii="Arial" w:hAnsi="Arial" w:cs="Arial"/>
          <w:color w:val="000000" w:themeColor="text1"/>
          <w:shd w:val="clear" w:color="auto" w:fill="FFFFFF"/>
          <w:lang w:val="en-US"/>
        </w:rPr>
        <w:t xml:space="preserve"> </w:t>
      </w:r>
      <w:r w:rsidR="00DC5C3D" w:rsidRPr="00004507">
        <w:rPr>
          <w:rFonts w:ascii="Arial" w:hAnsi="Arial" w:cs="Arial"/>
          <w:color w:val="000000" w:themeColor="text1"/>
          <w:shd w:val="clear" w:color="auto" w:fill="FFFFFF"/>
          <w:lang w:val="en-US"/>
        </w:rPr>
        <w:t xml:space="preserve">is </w:t>
      </w:r>
      <w:r w:rsidRPr="00004507">
        <w:rPr>
          <w:rFonts w:ascii="Arial" w:hAnsi="Arial" w:cs="Arial"/>
          <w:color w:val="000000" w:themeColor="text1"/>
          <w:shd w:val="clear" w:color="auto" w:fill="FFFFFF"/>
          <w:lang w:val="en-US"/>
        </w:rPr>
        <w:t xml:space="preserve">used as </w:t>
      </w:r>
      <w:r w:rsidR="00DC5C3D" w:rsidRPr="00004507">
        <w:rPr>
          <w:rFonts w:ascii="Arial" w:hAnsi="Arial" w:cs="Arial"/>
          <w:color w:val="000000" w:themeColor="text1"/>
          <w:shd w:val="clear" w:color="auto" w:fill="FFFFFF"/>
          <w:lang w:val="en-US"/>
        </w:rPr>
        <w:t xml:space="preserve">the </w:t>
      </w:r>
      <w:r w:rsidRPr="00004507">
        <w:rPr>
          <w:rFonts w:ascii="Arial" w:hAnsi="Arial" w:cs="Arial"/>
          <w:color w:val="000000" w:themeColor="text1"/>
          <w:shd w:val="clear" w:color="auto" w:fill="FFFFFF"/>
          <w:lang w:val="en-US"/>
        </w:rPr>
        <w:t>first step in the management of PEG.</w:t>
      </w:r>
      <w:r w:rsidR="00DC5C3D" w:rsidRPr="00004507">
        <w:rPr>
          <w:rFonts w:ascii="Arial" w:hAnsi="Arial" w:cs="Arial"/>
          <w:color w:val="000000" w:themeColor="text1"/>
          <w:shd w:val="clear" w:color="auto" w:fill="FFFFFF"/>
          <w:lang w:val="en-US"/>
        </w:rPr>
        <w:t xml:space="preserve"> Although</w:t>
      </w:r>
      <w:r w:rsidRPr="00004507">
        <w:rPr>
          <w:rFonts w:ascii="Arial" w:hAnsi="Arial" w:cs="Arial"/>
          <w:color w:val="000000" w:themeColor="text1"/>
          <w:shd w:val="clear" w:color="auto" w:fill="FFFFFF"/>
          <w:lang w:val="en-US"/>
        </w:rPr>
        <w:t xml:space="preserve"> early diagnosis is </w:t>
      </w:r>
      <w:r w:rsidR="00DC5C3D" w:rsidRPr="00004507">
        <w:rPr>
          <w:rFonts w:ascii="Arial" w:hAnsi="Arial" w:cs="Arial"/>
          <w:color w:val="000000" w:themeColor="text1"/>
          <w:shd w:val="clear" w:color="auto" w:fill="FFFFFF"/>
          <w:lang w:val="en-US"/>
        </w:rPr>
        <w:t>therefore very important in PEX/PEG,</w:t>
      </w:r>
      <w:r w:rsidRPr="00004507">
        <w:rPr>
          <w:rFonts w:ascii="Arial" w:hAnsi="Arial" w:cs="Arial"/>
          <w:color w:val="000000" w:themeColor="text1"/>
          <w:shd w:val="clear" w:color="auto" w:fill="FFFFFF"/>
          <w:lang w:val="en-US"/>
        </w:rPr>
        <w:t xml:space="preserve"> there are </w:t>
      </w:r>
      <w:r w:rsidR="00DC5C3D" w:rsidRPr="00004507">
        <w:rPr>
          <w:rFonts w:ascii="Arial" w:hAnsi="Arial" w:cs="Arial"/>
          <w:color w:val="000000" w:themeColor="text1"/>
          <w:shd w:val="clear" w:color="auto" w:fill="FFFFFF"/>
          <w:lang w:val="en-US"/>
        </w:rPr>
        <w:t xml:space="preserve">unfortunately </w:t>
      </w:r>
      <w:r w:rsidRPr="00004507">
        <w:rPr>
          <w:rFonts w:ascii="Arial" w:hAnsi="Arial" w:cs="Arial"/>
          <w:color w:val="000000" w:themeColor="text1"/>
          <w:shd w:val="clear" w:color="auto" w:fill="FFFFFF"/>
          <w:lang w:val="en-US"/>
        </w:rPr>
        <w:t xml:space="preserve">no valid objective biomarkers that can be used </w:t>
      </w:r>
      <w:r w:rsidR="00DC5C3D" w:rsidRPr="00004507">
        <w:rPr>
          <w:rFonts w:ascii="Arial" w:hAnsi="Arial" w:cs="Arial"/>
          <w:color w:val="000000" w:themeColor="text1"/>
          <w:shd w:val="clear" w:color="auto" w:fill="FFFFFF"/>
          <w:lang w:val="en-US"/>
        </w:rPr>
        <w:t>for this</w:t>
      </w:r>
      <w:r w:rsidRPr="00004507">
        <w:rPr>
          <w:rFonts w:ascii="Arial" w:hAnsi="Arial" w:cs="Arial"/>
          <w:color w:val="000000" w:themeColor="text1"/>
          <w:shd w:val="clear" w:color="auto" w:fill="FFFFFF"/>
          <w:lang w:val="en-US"/>
        </w:rPr>
        <w:t xml:space="preserve"> </w:t>
      </w:r>
      <w:r w:rsidR="007674E2" w:rsidRPr="00004507">
        <w:rPr>
          <w:rFonts w:ascii="Arial" w:hAnsi="Arial" w:cs="Arial"/>
          <w:color w:val="000000" w:themeColor="text1"/>
          <w:shd w:val="clear" w:color="auto" w:fill="FFFFFF"/>
          <w:lang w:val="en-US"/>
        </w:rPr>
        <w:t>[3</w:t>
      </w:r>
      <w:r w:rsidR="008C7FBA">
        <w:rPr>
          <w:rFonts w:ascii="Arial" w:hAnsi="Arial" w:cs="Arial"/>
          <w:color w:val="000000" w:themeColor="text1"/>
          <w:shd w:val="clear" w:color="auto" w:fill="FFFFFF"/>
          <w:lang w:val="en-US"/>
        </w:rPr>
        <w:t>8</w:t>
      </w:r>
      <w:r w:rsidR="00F601DA"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w:t>
      </w:r>
    </w:p>
    <w:p w14:paraId="56790A4E" w14:textId="19F213CE" w:rsidR="00A750B3" w:rsidRPr="00004507" w:rsidRDefault="00A750B3" w:rsidP="00C15EA2">
      <w:pPr>
        <w:spacing w:line="276" w:lineRule="auto"/>
        <w:jc w:val="both"/>
        <w:rPr>
          <w:rFonts w:ascii="Arial" w:hAnsi="Arial" w:cs="Arial"/>
          <w:color w:val="000000" w:themeColor="text1"/>
          <w:shd w:val="clear" w:color="auto" w:fill="FFFFFF"/>
          <w:lang w:val="en-US"/>
        </w:rPr>
      </w:pPr>
      <w:r w:rsidRPr="00004507">
        <w:rPr>
          <w:rFonts w:ascii="Arial" w:hAnsi="Arial" w:cs="Arial"/>
          <w:color w:val="000000" w:themeColor="text1"/>
          <w:shd w:val="clear" w:color="auto" w:fill="FFFFFF"/>
          <w:lang w:val="en-US"/>
        </w:rPr>
        <w:lastRenderedPageBreak/>
        <w:t xml:space="preserve">Moreover, PEG is known to be more resistant to medical therapy </w:t>
      </w:r>
      <w:r w:rsidR="00A85810" w:rsidRPr="00004507">
        <w:rPr>
          <w:rFonts w:ascii="Arial" w:hAnsi="Arial" w:cs="Arial"/>
          <w:color w:val="000000" w:themeColor="text1"/>
          <w:shd w:val="clear" w:color="auto" w:fill="FFFFFF"/>
          <w:lang w:val="en-US"/>
        </w:rPr>
        <w:t>than</w:t>
      </w:r>
      <w:r w:rsidRPr="00004507">
        <w:rPr>
          <w:rFonts w:ascii="Arial" w:hAnsi="Arial" w:cs="Arial"/>
          <w:color w:val="000000" w:themeColor="text1"/>
          <w:shd w:val="clear" w:color="auto" w:fill="FFFFFF"/>
          <w:lang w:val="en-US"/>
        </w:rPr>
        <w:t xml:space="preserve"> POAG. </w:t>
      </w:r>
      <w:r w:rsidR="00A85810" w:rsidRPr="00004507">
        <w:rPr>
          <w:rFonts w:ascii="Arial" w:hAnsi="Arial" w:cs="Arial"/>
          <w:color w:val="000000" w:themeColor="text1"/>
          <w:shd w:val="clear" w:color="auto" w:fill="FFFFFF"/>
          <w:lang w:val="en-US"/>
        </w:rPr>
        <w:t>While t</w:t>
      </w:r>
      <w:r w:rsidRPr="00004507">
        <w:rPr>
          <w:rFonts w:ascii="Arial" w:hAnsi="Arial" w:cs="Arial"/>
          <w:color w:val="000000" w:themeColor="text1"/>
          <w:shd w:val="clear" w:color="auto" w:fill="FFFFFF"/>
          <w:lang w:val="en-US"/>
        </w:rPr>
        <w:t xml:space="preserve">he success of laser </w:t>
      </w:r>
      <w:proofErr w:type="spellStart"/>
      <w:r w:rsidRPr="00004507">
        <w:rPr>
          <w:rFonts w:ascii="Arial" w:hAnsi="Arial" w:cs="Arial"/>
          <w:color w:val="000000" w:themeColor="text1"/>
          <w:shd w:val="clear" w:color="auto" w:fill="FFFFFF"/>
          <w:lang w:val="en-US"/>
        </w:rPr>
        <w:t>trabeculoplasty</w:t>
      </w:r>
      <w:proofErr w:type="spellEnd"/>
      <w:r w:rsidRPr="00004507">
        <w:rPr>
          <w:rFonts w:ascii="Arial" w:hAnsi="Arial" w:cs="Arial"/>
          <w:color w:val="000000" w:themeColor="text1"/>
          <w:shd w:val="clear" w:color="auto" w:fill="FFFFFF"/>
          <w:lang w:val="en-US"/>
        </w:rPr>
        <w:t xml:space="preserve"> to enhance aqueous drainage is high in PEG patients</w:t>
      </w:r>
      <w:r w:rsidR="00A85810" w:rsidRPr="00004507">
        <w:rPr>
          <w:rFonts w:ascii="Arial" w:hAnsi="Arial" w:cs="Arial"/>
          <w:color w:val="000000" w:themeColor="text1"/>
          <w:shd w:val="clear" w:color="auto" w:fill="FFFFFF"/>
          <w:lang w:val="en-US"/>
        </w:rPr>
        <w:t>, its effects might diminish over</w:t>
      </w:r>
      <w:r w:rsidRPr="00004507">
        <w:rPr>
          <w:rFonts w:ascii="Arial" w:hAnsi="Arial" w:cs="Arial"/>
          <w:color w:val="000000" w:themeColor="text1"/>
          <w:shd w:val="clear" w:color="auto" w:fill="FFFFFF"/>
          <w:lang w:val="en-US"/>
        </w:rPr>
        <w:t xml:space="preserve"> time and IOP may increase again. The last tr</w:t>
      </w:r>
      <w:r w:rsidR="003D6EBB" w:rsidRPr="00004507">
        <w:rPr>
          <w:rFonts w:ascii="Arial" w:hAnsi="Arial" w:cs="Arial"/>
          <w:color w:val="000000" w:themeColor="text1"/>
          <w:shd w:val="clear" w:color="auto" w:fill="FFFFFF"/>
          <w:lang w:val="en-US"/>
        </w:rPr>
        <w:t>eatment option would be</w:t>
      </w:r>
      <w:r w:rsidRPr="00004507">
        <w:rPr>
          <w:rFonts w:ascii="Arial" w:hAnsi="Arial" w:cs="Arial"/>
          <w:color w:val="000000" w:themeColor="text1"/>
          <w:shd w:val="clear" w:color="auto" w:fill="FFFFFF"/>
          <w:lang w:val="en-US"/>
        </w:rPr>
        <w:t xml:space="preserve"> advanced surgical interventions such as </w:t>
      </w:r>
      <w:proofErr w:type="spellStart"/>
      <w:r w:rsidRPr="00004507">
        <w:rPr>
          <w:rFonts w:ascii="Arial" w:hAnsi="Arial" w:cs="Arial"/>
          <w:color w:val="000000" w:themeColor="text1"/>
          <w:shd w:val="clear" w:color="auto" w:fill="FFFFFF"/>
          <w:lang w:val="en-US"/>
        </w:rPr>
        <w:t>trabeculectomy</w:t>
      </w:r>
      <w:proofErr w:type="spellEnd"/>
      <w:r w:rsidRPr="00004507">
        <w:rPr>
          <w:rFonts w:ascii="Arial" w:hAnsi="Arial" w:cs="Arial"/>
          <w:color w:val="000000" w:themeColor="text1"/>
          <w:shd w:val="clear" w:color="auto" w:fill="FFFFFF"/>
          <w:lang w:val="en-US"/>
        </w:rPr>
        <w:t xml:space="preserve"> or glaucoma drainage device implantation</w:t>
      </w:r>
      <w:r w:rsidRPr="00004507">
        <w:rPr>
          <w:rStyle w:val="Kpr"/>
          <w:rFonts w:ascii="Arial" w:hAnsi="Arial" w:cs="Arial"/>
          <w:color w:val="000000" w:themeColor="text1"/>
          <w:u w:val="none"/>
          <w:shd w:val="clear" w:color="auto" w:fill="FFFFFF"/>
          <w:vertAlign w:val="superscript"/>
          <w:lang w:val="en-US"/>
        </w:rPr>
        <w:t xml:space="preserve"> </w:t>
      </w:r>
      <w:r w:rsidR="007674E2" w:rsidRPr="00004507">
        <w:rPr>
          <w:rStyle w:val="Kpr"/>
          <w:rFonts w:ascii="Arial" w:hAnsi="Arial" w:cs="Arial"/>
          <w:color w:val="000000" w:themeColor="text1"/>
          <w:u w:val="none"/>
          <w:shd w:val="clear" w:color="auto" w:fill="FFFFFF"/>
          <w:lang w:val="en-US"/>
        </w:rPr>
        <w:t>[3</w:t>
      </w:r>
      <w:r w:rsidR="008C7FBA">
        <w:rPr>
          <w:rStyle w:val="Kpr"/>
          <w:rFonts w:ascii="Arial" w:hAnsi="Arial" w:cs="Arial"/>
          <w:color w:val="000000" w:themeColor="text1"/>
          <w:u w:val="none"/>
          <w:shd w:val="clear" w:color="auto" w:fill="FFFFFF"/>
          <w:lang w:val="en-US"/>
        </w:rPr>
        <w:t>9</w:t>
      </w:r>
      <w:r w:rsidR="007C7494" w:rsidRPr="00004507">
        <w:rPr>
          <w:rStyle w:val="Kpr"/>
          <w:rFonts w:ascii="Arial" w:hAnsi="Arial" w:cs="Arial"/>
          <w:color w:val="000000" w:themeColor="text1"/>
          <w:u w:val="none"/>
          <w:shd w:val="clear" w:color="auto" w:fill="FFFFFF"/>
          <w:lang w:val="en-US"/>
        </w:rPr>
        <w:t>]</w:t>
      </w:r>
      <w:r w:rsidRPr="00004507">
        <w:rPr>
          <w:rFonts w:ascii="Arial" w:hAnsi="Arial" w:cs="Arial"/>
          <w:color w:val="000000" w:themeColor="text1"/>
          <w:shd w:val="clear" w:color="auto" w:fill="FFFFFF"/>
          <w:lang w:val="en-US"/>
        </w:rPr>
        <w:t xml:space="preserve">. </w:t>
      </w:r>
    </w:p>
    <w:p w14:paraId="7C8D4127" w14:textId="726A9D71" w:rsidR="00A750B3" w:rsidRPr="00004507" w:rsidRDefault="00A750B3" w:rsidP="00C15EA2">
      <w:pPr>
        <w:spacing w:line="276" w:lineRule="auto"/>
        <w:contextualSpacing/>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The ultimate treatment solution for PEX and PEG r</w:t>
      </w:r>
      <w:r w:rsidR="003D6EBB" w:rsidRPr="00004507">
        <w:rPr>
          <w:rFonts w:ascii="Arial" w:hAnsi="Arial" w:cs="Arial"/>
          <w:color w:val="000000" w:themeColor="text1"/>
          <w:shd w:val="clear" w:color="auto" w:fill="FFFFFF"/>
          <w:lang w:val="en-US"/>
        </w:rPr>
        <w:t>equires that PEX pathogenesis be</w:t>
      </w:r>
      <w:r w:rsidRPr="00004507">
        <w:rPr>
          <w:rFonts w:ascii="Arial" w:hAnsi="Arial" w:cs="Arial"/>
          <w:color w:val="000000" w:themeColor="text1"/>
          <w:shd w:val="clear" w:color="auto" w:fill="FFFFFF"/>
          <w:lang w:val="en-US"/>
        </w:rPr>
        <w:t xml:space="preserve"> fully elucidated and </w:t>
      </w:r>
      <w:r w:rsidR="003D6EBB" w:rsidRPr="00004507">
        <w:rPr>
          <w:rFonts w:ascii="Arial" w:hAnsi="Arial" w:cs="Arial"/>
          <w:color w:val="000000" w:themeColor="text1"/>
          <w:shd w:val="clear" w:color="auto" w:fill="FFFFFF"/>
          <w:lang w:val="en-US"/>
        </w:rPr>
        <w:t xml:space="preserve">its early biomarkers </w:t>
      </w:r>
      <w:r w:rsidRPr="00004507">
        <w:rPr>
          <w:rFonts w:ascii="Arial" w:hAnsi="Arial" w:cs="Arial"/>
          <w:color w:val="000000" w:themeColor="text1"/>
          <w:shd w:val="clear" w:color="auto" w:fill="FFFFFF"/>
          <w:lang w:val="en-US"/>
        </w:rPr>
        <w:t xml:space="preserve">defined. </w:t>
      </w:r>
      <w:r w:rsidRPr="00004507">
        <w:rPr>
          <w:rFonts w:ascii="Arial" w:hAnsi="Arial" w:cs="Arial"/>
          <w:color w:val="000000" w:themeColor="text1"/>
          <w:lang w:val="en-US"/>
        </w:rPr>
        <w:t>The disturbed local oxidative/</w:t>
      </w:r>
      <w:proofErr w:type="spellStart"/>
      <w:r w:rsidRPr="00004507">
        <w:rPr>
          <w:rFonts w:ascii="Arial" w:hAnsi="Arial" w:cs="Arial"/>
          <w:color w:val="000000" w:themeColor="text1"/>
          <w:lang w:val="en-US"/>
        </w:rPr>
        <w:t>antioxidative</w:t>
      </w:r>
      <w:proofErr w:type="spellEnd"/>
      <w:r w:rsidRPr="00004507">
        <w:rPr>
          <w:rFonts w:ascii="Arial" w:hAnsi="Arial" w:cs="Arial"/>
          <w:color w:val="000000" w:themeColor="text1"/>
          <w:lang w:val="en-US"/>
        </w:rPr>
        <w:t xml:space="preserve"> environment leading to PEX development can be a result of a PON1 enzyme with low activity and/or low expression level</w:t>
      </w:r>
      <w:r w:rsidR="003D6EBB" w:rsidRPr="00004507">
        <w:rPr>
          <w:rFonts w:ascii="Arial" w:hAnsi="Arial" w:cs="Arial"/>
          <w:color w:val="000000" w:themeColor="text1"/>
          <w:lang w:val="en-US"/>
        </w:rPr>
        <w:t>s</w:t>
      </w:r>
      <w:r w:rsidRPr="00004507">
        <w:rPr>
          <w:rFonts w:ascii="Arial" w:hAnsi="Arial" w:cs="Arial"/>
          <w:color w:val="000000" w:themeColor="text1"/>
          <w:lang w:val="en-US"/>
        </w:rPr>
        <w:t xml:space="preserve">. The main physiological function of PON1 is to degrade oxidized lipids and oxidized </w:t>
      </w:r>
      <w:proofErr w:type="spellStart"/>
      <w:r w:rsidRPr="00004507">
        <w:rPr>
          <w:rFonts w:ascii="Arial" w:hAnsi="Arial" w:cs="Arial"/>
          <w:color w:val="000000" w:themeColor="text1"/>
          <w:lang w:val="en-US"/>
        </w:rPr>
        <w:t>cholesteryl</w:t>
      </w:r>
      <w:proofErr w:type="spellEnd"/>
      <w:r w:rsidRPr="00004507">
        <w:rPr>
          <w:rFonts w:ascii="Arial" w:hAnsi="Arial" w:cs="Arial"/>
          <w:color w:val="000000" w:themeColor="text1"/>
          <w:lang w:val="en-US"/>
        </w:rPr>
        <w:t xml:space="preserve"> esters in lipoproteins. The anti-inflammatory roles of PON1 include </w:t>
      </w:r>
      <w:r w:rsidRPr="00004507">
        <w:rPr>
          <w:rFonts w:ascii="Arial" w:hAnsi="Arial" w:cs="Arial"/>
          <w:color w:val="000000" w:themeColor="text1"/>
          <w:shd w:val="clear" w:color="auto" w:fill="FFFFFF"/>
          <w:lang w:val="en-US"/>
        </w:rPr>
        <w:t>coordinating the infl</w:t>
      </w:r>
      <w:r w:rsidR="003D6EBB" w:rsidRPr="00004507">
        <w:rPr>
          <w:rFonts w:ascii="Arial" w:hAnsi="Arial" w:cs="Arial"/>
          <w:color w:val="000000" w:themeColor="text1"/>
          <w:shd w:val="clear" w:color="auto" w:fill="FFFFFF"/>
          <w:lang w:val="en-US"/>
        </w:rPr>
        <w:t>ammatory response by inactivating</w:t>
      </w:r>
      <w:r w:rsidRPr="00004507">
        <w:rPr>
          <w:rFonts w:ascii="Arial" w:hAnsi="Arial" w:cs="Arial"/>
          <w:color w:val="000000" w:themeColor="text1"/>
          <w:shd w:val="clear" w:color="auto" w:fill="FFFFFF"/>
          <w:lang w:val="en-US"/>
        </w:rPr>
        <w:t xml:space="preserve"> </w:t>
      </w:r>
      <w:r w:rsidR="003D6EBB" w:rsidRPr="00004507">
        <w:rPr>
          <w:rFonts w:ascii="Arial" w:hAnsi="Arial" w:cs="Arial"/>
          <w:color w:val="000000" w:themeColor="text1"/>
          <w:shd w:val="clear" w:color="auto" w:fill="FFFFFF"/>
          <w:lang w:val="en-US"/>
        </w:rPr>
        <w:t>p</w:t>
      </w:r>
      <w:r w:rsidRPr="00004507">
        <w:rPr>
          <w:rFonts w:ascii="Arial" w:hAnsi="Arial" w:cs="Arial"/>
          <w:color w:val="000000" w:themeColor="text1"/>
          <w:shd w:val="clear" w:color="auto" w:fill="FFFFFF"/>
          <w:lang w:val="en-US"/>
        </w:rPr>
        <w:t xml:space="preserve">ro-oxidant and pro-inflammatory mediators and </w:t>
      </w:r>
      <w:r w:rsidRPr="00004507">
        <w:rPr>
          <w:rStyle w:val="Vurgu"/>
          <w:rFonts w:ascii="Arial" w:hAnsi="Arial" w:cs="Arial"/>
          <w:bCs/>
          <w:i w:val="0"/>
          <w:color w:val="000000" w:themeColor="text1"/>
          <w:shd w:val="clear" w:color="auto" w:fill="FFFFFF"/>
          <w:lang w:val="en-US"/>
        </w:rPr>
        <w:t>inhibiting</w:t>
      </w:r>
      <w:r w:rsidRPr="00004507">
        <w:rPr>
          <w:rFonts w:ascii="Arial" w:hAnsi="Arial" w:cs="Arial"/>
          <w:i/>
          <w:color w:val="000000" w:themeColor="text1"/>
          <w:shd w:val="clear" w:color="auto" w:fill="FFFFFF"/>
          <w:lang w:val="en-US"/>
        </w:rPr>
        <w:t> </w:t>
      </w:r>
      <w:r w:rsidRPr="00004507">
        <w:rPr>
          <w:rFonts w:ascii="Arial" w:hAnsi="Arial" w:cs="Arial"/>
          <w:color w:val="000000" w:themeColor="text1"/>
          <w:shd w:val="clear" w:color="auto" w:fill="FFFFFF"/>
          <w:lang w:val="en-US"/>
        </w:rPr>
        <w:t>the</w:t>
      </w:r>
      <w:r w:rsidRPr="00004507">
        <w:rPr>
          <w:rFonts w:ascii="Arial" w:hAnsi="Arial" w:cs="Arial"/>
          <w:i/>
          <w:color w:val="000000" w:themeColor="text1"/>
          <w:shd w:val="clear" w:color="auto" w:fill="FFFFFF"/>
          <w:lang w:val="en-US"/>
        </w:rPr>
        <w:t xml:space="preserve"> </w:t>
      </w:r>
      <w:r w:rsidRPr="00004507">
        <w:rPr>
          <w:rStyle w:val="Vurgu"/>
          <w:rFonts w:ascii="Arial" w:hAnsi="Arial" w:cs="Arial"/>
          <w:bCs/>
          <w:i w:val="0"/>
          <w:color w:val="000000" w:themeColor="text1"/>
          <w:shd w:val="clear" w:color="auto" w:fill="FFFFFF"/>
          <w:lang w:val="en-US"/>
        </w:rPr>
        <w:t>production</w:t>
      </w:r>
      <w:r w:rsidRPr="00004507">
        <w:rPr>
          <w:rFonts w:ascii="Arial" w:hAnsi="Arial" w:cs="Arial"/>
          <w:i/>
          <w:color w:val="000000" w:themeColor="text1"/>
          <w:shd w:val="clear" w:color="auto" w:fill="FFFFFF"/>
          <w:lang w:val="en-US"/>
        </w:rPr>
        <w:t> </w:t>
      </w:r>
      <w:r w:rsidRPr="00004507">
        <w:rPr>
          <w:rFonts w:ascii="Arial" w:hAnsi="Arial" w:cs="Arial"/>
          <w:color w:val="000000" w:themeColor="text1"/>
          <w:shd w:val="clear" w:color="auto" w:fill="FFFFFF"/>
          <w:lang w:val="en-US"/>
        </w:rPr>
        <w:t>of cytokine</w:t>
      </w:r>
      <w:r w:rsidRPr="00004507">
        <w:rPr>
          <w:rFonts w:ascii="Arial" w:hAnsi="Arial" w:cs="Arial"/>
          <w:i/>
          <w:color w:val="000000" w:themeColor="text1"/>
          <w:shd w:val="clear" w:color="auto" w:fill="FFFFFF"/>
          <w:lang w:val="en-US"/>
        </w:rPr>
        <w:t xml:space="preserve"> </w:t>
      </w:r>
      <w:r w:rsidRPr="00004507">
        <w:rPr>
          <w:rStyle w:val="Vurgu"/>
          <w:rFonts w:ascii="Arial" w:hAnsi="Arial" w:cs="Arial"/>
          <w:bCs/>
          <w:i w:val="0"/>
          <w:color w:val="000000" w:themeColor="text1"/>
          <w:shd w:val="clear" w:color="auto" w:fill="FFFFFF"/>
          <w:lang w:val="en-US"/>
        </w:rPr>
        <w:t xml:space="preserve">monocyte </w:t>
      </w:r>
      <w:proofErr w:type="spellStart"/>
      <w:r w:rsidRPr="00004507">
        <w:rPr>
          <w:rStyle w:val="Vurgu"/>
          <w:rFonts w:ascii="Arial" w:hAnsi="Arial" w:cs="Arial"/>
          <w:bCs/>
          <w:i w:val="0"/>
          <w:color w:val="000000" w:themeColor="text1"/>
          <w:shd w:val="clear" w:color="auto" w:fill="FFFFFF"/>
          <w:lang w:val="en-US"/>
        </w:rPr>
        <w:t>chemoattractant</w:t>
      </w:r>
      <w:proofErr w:type="spellEnd"/>
      <w:r w:rsidRPr="00004507">
        <w:rPr>
          <w:rStyle w:val="Vurgu"/>
          <w:rFonts w:ascii="Arial" w:hAnsi="Arial" w:cs="Arial"/>
          <w:bCs/>
          <w:i w:val="0"/>
          <w:color w:val="000000" w:themeColor="text1"/>
          <w:shd w:val="clear" w:color="auto" w:fill="FFFFFF"/>
          <w:lang w:val="en-US"/>
        </w:rPr>
        <w:t xml:space="preserve"> protein</w:t>
      </w:r>
      <w:r w:rsidRPr="00004507">
        <w:rPr>
          <w:rFonts w:ascii="Arial" w:hAnsi="Arial" w:cs="Arial"/>
          <w:i/>
          <w:color w:val="000000" w:themeColor="text1"/>
          <w:shd w:val="clear" w:color="auto" w:fill="FFFFFF"/>
          <w:lang w:val="en-US"/>
        </w:rPr>
        <w:t>-</w:t>
      </w:r>
      <w:r w:rsidRPr="00004507">
        <w:rPr>
          <w:rStyle w:val="Vurgu"/>
          <w:rFonts w:ascii="Arial" w:hAnsi="Arial" w:cs="Arial"/>
          <w:bCs/>
          <w:i w:val="0"/>
          <w:color w:val="000000" w:themeColor="text1"/>
          <w:shd w:val="clear" w:color="auto" w:fill="FFFFFF"/>
          <w:lang w:val="en-US"/>
        </w:rPr>
        <w:t xml:space="preserve">1 </w:t>
      </w:r>
      <w:r w:rsidR="007674E2" w:rsidRPr="00004507">
        <w:rPr>
          <w:rStyle w:val="Vurgu"/>
          <w:rFonts w:ascii="Arial" w:hAnsi="Arial" w:cs="Arial"/>
          <w:bCs/>
          <w:i w:val="0"/>
          <w:color w:val="000000" w:themeColor="text1"/>
          <w:shd w:val="clear" w:color="auto" w:fill="FFFFFF"/>
          <w:lang w:val="en-US"/>
        </w:rPr>
        <w:t>[</w:t>
      </w:r>
      <w:r w:rsidR="008C7FBA">
        <w:rPr>
          <w:rStyle w:val="Vurgu"/>
          <w:rFonts w:ascii="Arial" w:hAnsi="Arial" w:cs="Arial"/>
          <w:bCs/>
          <w:i w:val="0"/>
          <w:color w:val="000000" w:themeColor="text1"/>
          <w:shd w:val="clear" w:color="auto" w:fill="FFFFFF"/>
          <w:lang w:val="en-US"/>
        </w:rPr>
        <w:t>40</w:t>
      </w:r>
      <w:r w:rsidR="007C7494" w:rsidRPr="00004507">
        <w:rPr>
          <w:rStyle w:val="Vurgu"/>
          <w:rFonts w:ascii="Arial" w:hAnsi="Arial" w:cs="Arial"/>
          <w:bCs/>
          <w:i w:val="0"/>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w:t>
      </w:r>
      <w:r w:rsidRPr="00004507">
        <w:rPr>
          <w:rFonts w:ascii="Arial" w:hAnsi="Arial" w:cs="Arial"/>
          <w:bCs/>
          <w:color w:val="000000" w:themeColor="text1"/>
          <w:lang w:val="en-US"/>
        </w:rPr>
        <w:t>Hence, PON1 has been shown to be involved in the pathogenesis of diseases such as diabetes, coronary artery disease</w:t>
      </w:r>
      <w:r w:rsidR="003D6EBB" w:rsidRPr="00004507">
        <w:rPr>
          <w:rFonts w:ascii="Arial" w:hAnsi="Arial" w:cs="Arial"/>
          <w:bCs/>
          <w:color w:val="000000" w:themeColor="text1"/>
          <w:lang w:val="en-US"/>
        </w:rPr>
        <w:t xml:space="preserve"> (CAD)</w:t>
      </w:r>
      <w:r w:rsidRPr="00004507">
        <w:rPr>
          <w:rFonts w:ascii="Arial" w:hAnsi="Arial" w:cs="Arial"/>
          <w:bCs/>
          <w:color w:val="000000" w:themeColor="text1"/>
          <w:lang w:val="en-US"/>
        </w:rPr>
        <w:t>, cerebrovascular disease, an</w:t>
      </w:r>
      <w:r w:rsidR="003D6EBB" w:rsidRPr="00004507">
        <w:rPr>
          <w:rFonts w:ascii="Arial" w:hAnsi="Arial" w:cs="Arial"/>
          <w:bCs/>
          <w:color w:val="000000" w:themeColor="text1"/>
          <w:lang w:val="en-US"/>
        </w:rPr>
        <w:t>d ischemic stroke, which share the</w:t>
      </w:r>
      <w:r w:rsidRPr="00004507">
        <w:rPr>
          <w:rFonts w:ascii="Arial" w:hAnsi="Arial" w:cs="Arial"/>
          <w:bCs/>
          <w:color w:val="000000" w:themeColor="text1"/>
          <w:lang w:val="en-US"/>
        </w:rPr>
        <w:t xml:space="preserve"> common pathophysiology </w:t>
      </w:r>
      <w:r w:rsidR="003D6EBB" w:rsidRPr="00004507">
        <w:rPr>
          <w:rFonts w:ascii="Arial" w:hAnsi="Arial" w:cs="Arial"/>
          <w:bCs/>
          <w:color w:val="000000" w:themeColor="text1"/>
          <w:lang w:val="en-US"/>
        </w:rPr>
        <w:t xml:space="preserve">of </w:t>
      </w:r>
      <w:r w:rsidRPr="00004507">
        <w:rPr>
          <w:rFonts w:ascii="Arial" w:hAnsi="Arial" w:cs="Arial"/>
          <w:bCs/>
          <w:color w:val="000000" w:themeColor="text1"/>
          <w:lang w:val="en-US"/>
        </w:rPr>
        <w:t xml:space="preserve">oxidative stress and inflammation </w:t>
      </w:r>
      <w:r w:rsidR="007C7494" w:rsidRPr="00004507">
        <w:rPr>
          <w:rFonts w:ascii="Arial" w:hAnsi="Arial" w:cs="Arial"/>
          <w:bCs/>
          <w:color w:val="000000" w:themeColor="text1"/>
          <w:lang w:val="en-US"/>
        </w:rPr>
        <w:t>[</w:t>
      </w:r>
      <w:r w:rsidR="007674E2" w:rsidRPr="00004507">
        <w:rPr>
          <w:rFonts w:ascii="Arial" w:hAnsi="Arial" w:cs="Arial"/>
          <w:bCs/>
          <w:color w:val="000000" w:themeColor="text1"/>
          <w:lang w:val="en-US"/>
        </w:rPr>
        <w:t>33,4</w:t>
      </w:r>
      <w:r w:rsidR="008C7FBA">
        <w:rPr>
          <w:rFonts w:ascii="Arial" w:hAnsi="Arial" w:cs="Arial"/>
          <w:bCs/>
          <w:color w:val="000000" w:themeColor="text1"/>
          <w:lang w:val="en-US"/>
        </w:rPr>
        <w:t>1</w:t>
      </w:r>
      <w:r w:rsidR="007674E2" w:rsidRPr="00004507">
        <w:rPr>
          <w:rFonts w:ascii="Arial" w:hAnsi="Arial" w:cs="Arial"/>
          <w:bCs/>
          <w:color w:val="000000" w:themeColor="text1"/>
          <w:lang w:val="en-US"/>
        </w:rPr>
        <w:t>-4</w:t>
      </w:r>
      <w:r w:rsidR="008C7FBA">
        <w:rPr>
          <w:rFonts w:ascii="Arial" w:hAnsi="Arial" w:cs="Arial"/>
          <w:bCs/>
          <w:color w:val="000000" w:themeColor="text1"/>
          <w:lang w:val="en-US"/>
        </w:rPr>
        <w:t>3</w:t>
      </w:r>
      <w:r w:rsidR="007C7494" w:rsidRPr="00004507">
        <w:rPr>
          <w:rFonts w:ascii="Arial" w:hAnsi="Arial" w:cs="Arial"/>
          <w:bCs/>
          <w:color w:val="000000" w:themeColor="text1"/>
          <w:lang w:val="en-US"/>
        </w:rPr>
        <w:t>]</w:t>
      </w:r>
      <w:r w:rsidRPr="00004507">
        <w:rPr>
          <w:rFonts w:ascii="Arial" w:hAnsi="Arial" w:cs="Arial"/>
          <w:bCs/>
          <w:color w:val="000000" w:themeColor="text1"/>
          <w:lang w:val="en-US"/>
        </w:rPr>
        <w:t xml:space="preserve">. </w:t>
      </w:r>
      <w:r w:rsidRPr="00004507">
        <w:rPr>
          <w:rFonts w:ascii="Arial" w:hAnsi="Arial" w:cs="Arial"/>
          <w:color w:val="000000" w:themeColor="text1"/>
          <w:lang w:val="en-US"/>
        </w:rPr>
        <w:t>In our previous studies</w:t>
      </w:r>
      <w:r w:rsidR="003D6EBB" w:rsidRPr="00004507">
        <w:rPr>
          <w:rFonts w:ascii="Arial" w:hAnsi="Arial" w:cs="Arial"/>
          <w:color w:val="000000" w:themeColor="text1"/>
          <w:lang w:val="en-US"/>
        </w:rPr>
        <w:t>,</w:t>
      </w:r>
      <w:r w:rsidRPr="00004507">
        <w:rPr>
          <w:rFonts w:ascii="Arial" w:hAnsi="Arial" w:cs="Arial"/>
          <w:color w:val="000000" w:themeColor="text1"/>
          <w:lang w:val="en-US"/>
        </w:rPr>
        <w:t xml:space="preserve"> we also determined </w:t>
      </w:r>
      <w:r w:rsidR="003D6EBB" w:rsidRPr="00004507">
        <w:rPr>
          <w:rFonts w:ascii="Arial" w:hAnsi="Arial" w:cs="Arial"/>
          <w:color w:val="000000" w:themeColor="text1"/>
          <w:lang w:val="en-US"/>
        </w:rPr>
        <w:t xml:space="preserve">that </w:t>
      </w:r>
      <w:r w:rsidRPr="00004507">
        <w:rPr>
          <w:rFonts w:ascii="Arial" w:hAnsi="Arial" w:cs="Arial"/>
          <w:color w:val="000000" w:themeColor="text1"/>
          <w:lang w:val="en-US"/>
        </w:rPr>
        <w:t xml:space="preserve">some genotypes of </w:t>
      </w:r>
      <w:r w:rsidRPr="00004507">
        <w:rPr>
          <w:rFonts w:ascii="Arial" w:hAnsi="Arial" w:cs="Arial"/>
          <w:i/>
          <w:color w:val="000000" w:themeColor="text1"/>
          <w:lang w:val="en-US"/>
        </w:rPr>
        <w:t xml:space="preserve">PON1 </w:t>
      </w:r>
      <w:r w:rsidR="003D6EBB" w:rsidRPr="00004507">
        <w:rPr>
          <w:rFonts w:ascii="Arial" w:hAnsi="Arial" w:cs="Arial"/>
          <w:color w:val="000000" w:themeColor="text1"/>
          <w:lang w:val="en-US"/>
        </w:rPr>
        <w:t>are</w:t>
      </w:r>
      <w:r w:rsidRPr="00004507">
        <w:rPr>
          <w:rFonts w:ascii="Arial" w:hAnsi="Arial" w:cs="Arial"/>
          <w:color w:val="000000" w:themeColor="text1"/>
          <w:lang w:val="en-US"/>
        </w:rPr>
        <w:t xml:space="preserve"> significantly related with </w:t>
      </w:r>
      <w:proofErr w:type="spellStart"/>
      <w:r w:rsidRPr="00004507">
        <w:rPr>
          <w:rFonts w:ascii="Arial" w:hAnsi="Arial" w:cs="Arial"/>
          <w:color w:val="000000" w:themeColor="text1"/>
          <w:lang w:val="en-US"/>
        </w:rPr>
        <w:t>atherothrombotic</w:t>
      </w:r>
      <w:proofErr w:type="spellEnd"/>
      <w:r w:rsidRPr="00004507">
        <w:rPr>
          <w:rFonts w:ascii="Arial" w:hAnsi="Arial" w:cs="Arial"/>
          <w:color w:val="000000" w:themeColor="text1"/>
          <w:lang w:val="en-US"/>
        </w:rPr>
        <w:t xml:space="preserve"> ischemic stroke </w:t>
      </w:r>
      <w:r w:rsidR="007674E2" w:rsidRPr="00004507">
        <w:rPr>
          <w:rFonts w:ascii="Arial" w:hAnsi="Arial" w:cs="Arial"/>
          <w:color w:val="000000" w:themeColor="text1"/>
          <w:lang w:val="en-US"/>
        </w:rPr>
        <w:t>[33</w:t>
      </w:r>
      <w:r w:rsidR="007C7494" w:rsidRPr="00004507">
        <w:rPr>
          <w:rFonts w:ascii="Arial" w:hAnsi="Arial" w:cs="Arial"/>
          <w:color w:val="000000" w:themeColor="text1"/>
          <w:lang w:val="en-US"/>
        </w:rPr>
        <w:t>]</w:t>
      </w:r>
      <w:r w:rsidRPr="00004507">
        <w:rPr>
          <w:rFonts w:ascii="Arial" w:hAnsi="Arial" w:cs="Arial"/>
          <w:color w:val="000000" w:themeColor="text1"/>
          <w:lang w:val="en-US"/>
        </w:rPr>
        <w:t xml:space="preserve">. The pathophysiology of PEX </w:t>
      </w:r>
      <w:r w:rsidR="00720F6B" w:rsidRPr="00004507">
        <w:rPr>
          <w:rFonts w:ascii="Arial" w:hAnsi="Arial" w:cs="Arial"/>
          <w:color w:val="000000" w:themeColor="text1"/>
          <w:lang w:val="en-US"/>
        </w:rPr>
        <w:t xml:space="preserve">shares common features with that of </w:t>
      </w:r>
      <w:r w:rsidRPr="00004507">
        <w:rPr>
          <w:rFonts w:ascii="Arial" w:hAnsi="Arial" w:cs="Arial"/>
          <w:color w:val="000000" w:themeColor="text1"/>
          <w:lang w:val="en-US"/>
        </w:rPr>
        <w:t>cardiovascular and cerebrovascular diseases</w:t>
      </w:r>
      <w:r w:rsidR="00720F6B" w:rsidRPr="00004507">
        <w:rPr>
          <w:rFonts w:ascii="Arial" w:hAnsi="Arial" w:cs="Arial"/>
          <w:color w:val="000000" w:themeColor="text1"/>
          <w:lang w:val="en-US"/>
        </w:rPr>
        <w:t>,</w:t>
      </w:r>
      <w:r w:rsidRPr="00004507">
        <w:rPr>
          <w:rFonts w:ascii="Arial" w:hAnsi="Arial" w:cs="Arial"/>
          <w:color w:val="000000" w:themeColor="text1"/>
          <w:lang w:val="en-US"/>
        </w:rPr>
        <w:t xml:space="preserve"> such as </w:t>
      </w:r>
      <w:r w:rsidRPr="00004507">
        <w:rPr>
          <w:rFonts w:ascii="Arial" w:hAnsi="Arial" w:cs="Arial"/>
          <w:color w:val="000000" w:themeColor="text1"/>
          <w:shd w:val="clear" w:color="auto" w:fill="FFFFFF"/>
          <w:lang w:val="en-US"/>
        </w:rPr>
        <w:t xml:space="preserve">vascular endothelial dysfunction, </w:t>
      </w:r>
      <w:proofErr w:type="spellStart"/>
      <w:r w:rsidRPr="00004507">
        <w:rPr>
          <w:rFonts w:ascii="Arial" w:hAnsi="Arial" w:cs="Arial"/>
          <w:color w:val="000000" w:themeColor="text1"/>
          <w:lang w:val="en-US"/>
        </w:rPr>
        <w:t>elastosis</w:t>
      </w:r>
      <w:proofErr w:type="spellEnd"/>
      <w:r w:rsidRPr="00004507">
        <w:rPr>
          <w:rFonts w:ascii="Arial" w:hAnsi="Arial" w:cs="Arial"/>
          <w:color w:val="000000" w:themeColor="text1"/>
          <w:lang w:val="en-US"/>
        </w:rPr>
        <w:t xml:space="preserve"> in the vessel wall, </w:t>
      </w:r>
      <w:r w:rsidRPr="00004507">
        <w:rPr>
          <w:rFonts w:ascii="Arial" w:hAnsi="Arial" w:cs="Arial"/>
          <w:color w:val="000000" w:themeColor="text1"/>
          <w:shd w:val="clear" w:color="auto" w:fill="FFFFFF"/>
          <w:lang w:val="en-US"/>
        </w:rPr>
        <w:t>increased vascular resistance</w:t>
      </w:r>
      <w:r w:rsidR="00720F6B"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and decreased blood flow velocity, </w:t>
      </w:r>
      <w:proofErr w:type="spellStart"/>
      <w:r w:rsidRPr="00004507">
        <w:rPr>
          <w:rFonts w:ascii="Arial" w:hAnsi="Arial" w:cs="Arial"/>
          <w:color w:val="000000" w:themeColor="text1"/>
          <w:shd w:val="clear" w:color="auto" w:fill="FFFFFF"/>
          <w:lang w:val="en-US"/>
        </w:rPr>
        <w:t>hyperhomocysteinemia</w:t>
      </w:r>
      <w:proofErr w:type="spellEnd"/>
      <w:r w:rsidRPr="00004507">
        <w:rPr>
          <w:rFonts w:ascii="Arial" w:hAnsi="Arial" w:cs="Arial"/>
          <w:color w:val="000000" w:themeColor="text1"/>
          <w:shd w:val="clear" w:color="auto" w:fill="FFFFFF"/>
          <w:lang w:val="en-US"/>
        </w:rPr>
        <w:t>, and disorders of the extracellular matrix </w:t>
      </w:r>
      <w:r w:rsidR="007674E2" w:rsidRPr="00004507">
        <w:rPr>
          <w:rFonts w:ascii="Arial" w:hAnsi="Arial" w:cs="Arial"/>
          <w:color w:val="000000" w:themeColor="text1"/>
          <w:shd w:val="clear" w:color="auto" w:fill="FFFFFF"/>
          <w:lang w:val="en-US"/>
        </w:rPr>
        <w:t>[4</w:t>
      </w:r>
      <w:r w:rsidR="008C7FBA">
        <w:rPr>
          <w:rFonts w:ascii="Arial" w:hAnsi="Arial" w:cs="Arial"/>
          <w:color w:val="000000" w:themeColor="text1"/>
          <w:shd w:val="clear" w:color="auto" w:fill="FFFFFF"/>
          <w:lang w:val="en-US"/>
        </w:rPr>
        <w:t>4</w:t>
      </w:r>
      <w:r w:rsidR="007C7494" w:rsidRPr="00004507">
        <w:rPr>
          <w:rFonts w:ascii="Arial" w:hAnsi="Arial" w:cs="Arial"/>
          <w:color w:val="000000" w:themeColor="text1"/>
          <w:shd w:val="clear" w:color="auto" w:fill="FFFFFF"/>
          <w:lang w:val="en-US"/>
        </w:rPr>
        <w:t>]</w:t>
      </w:r>
      <w:r w:rsidR="00720F6B" w:rsidRPr="00004507">
        <w:rPr>
          <w:rFonts w:ascii="Arial" w:hAnsi="Arial" w:cs="Arial"/>
          <w:color w:val="000000" w:themeColor="text1"/>
          <w:shd w:val="clear" w:color="auto" w:fill="FFFFFF"/>
          <w:lang w:val="en-US"/>
        </w:rPr>
        <w:t>. T</w:t>
      </w:r>
      <w:r w:rsidRPr="00004507">
        <w:rPr>
          <w:rFonts w:ascii="Arial" w:hAnsi="Arial" w:cs="Arial"/>
          <w:color w:val="000000" w:themeColor="text1"/>
          <w:shd w:val="clear" w:color="auto" w:fill="FFFFFF"/>
          <w:lang w:val="en-US"/>
        </w:rPr>
        <w:t xml:space="preserve">hus, </w:t>
      </w:r>
      <w:r w:rsidRPr="00004507">
        <w:rPr>
          <w:rFonts w:ascii="Arial" w:hAnsi="Arial" w:cs="Arial"/>
          <w:color w:val="000000" w:themeColor="text1"/>
          <w:lang w:val="en-US"/>
        </w:rPr>
        <w:t xml:space="preserve">PON1 </w:t>
      </w:r>
      <w:r w:rsidR="00720F6B" w:rsidRPr="00004507">
        <w:rPr>
          <w:rFonts w:ascii="Arial" w:hAnsi="Arial" w:cs="Arial"/>
          <w:color w:val="000000" w:themeColor="text1"/>
          <w:lang w:val="en-US"/>
        </w:rPr>
        <w:t>is the</w:t>
      </w:r>
      <w:r w:rsidRPr="00004507">
        <w:rPr>
          <w:rFonts w:ascii="Arial" w:hAnsi="Arial" w:cs="Arial"/>
          <w:color w:val="000000" w:themeColor="text1"/>
          <w:lang w:val="en-US"/>
        </w:rPr>
        <w:t xml:space="preserve"> candidate protein </w:t>
      </w:r>
      <w:r w:rsidR="00720F6B" w:rsidRPr="00004507">
        <w:rPr>
          <w:rFonts w:ascii="Arial" w:hAnsi="Arial" w:cs="Arial"/>
          <w:color w:val="000000" w:themeColor="text1"/>
          <w:lang w:val="en-US"/>
        </w:rPr>
        <w:t xml:space="preserve">with the most potential </w:t>
      </w:r>
      <w:r w:rsidRPr="00004507">
        <w:rPr>
          <w:rFonts w:ascii="Arial" w:hAnsi="Arial" w:cs="Arial"/>
          <w:color w:val="000000" w:themeColor="text1"/>
          <w:lang w:val="en-US"/>
        </w:rPr>
        <w:t>to have an important role</w:t>
      </w:r>
      <w:r w:rsidR="00720F6B" w:rsidRPr="00004507">
        <w:rPr>
          <w:rFonts w:ascii="Arial" w:hAnsi="Arial" w:cs="Arial"/>
          <w:color w:val="000000" w:themeColor="text1"/>
          <w:lang w:val="en-US"/>
        </w:rPr>
        <w:t xml:space="preserve"> in the pathogenesis of PEX/PEG</w:t>
      </w:r>
      <w:r w:rsidRPr="00004507">
        <w:rPr>
          <w:rFonts w:ascii="Arial" w:hAnsi="Arial" w:cs="Arial"/>
          <w:color w:val="000000" w:themeColor="text1"/>
          <w:lang w:val="en-US"/>
        </w:rPr>
        <w:t xml:space="preserve"> as well as other types of glaucoma. </w:t>
      </w:r>
    </w:p>
    <w:p w14:paraId="520967CF" w14:textId="77777777" w:rsidR="00A750B3" w:rsidRPr="00004507" w:rsidRDefault="00A750B3" w:rsidP="00C15EA2">
      <w:pPr>
        <w:spacing w:before="240" w:line="276" w:lineRule="auto"/>
        <w:contextualSpacing/>
        <w:jc w:val="both"/>
        <w:rPr>
          <w:rFonts w:ascii="Arial" w:hAnsi="Arial" w:cs="Arial"/>
          <w:color w:val="000000" w:themeColor="text1"/>
          <w:lang w:val="en-US"/>
        </w:rPr>
      </w:pPr>
    </w:p>
    <w:p w14:paraId="4DE046BE" w14:textId="131A7DDE" w:rsidR="00A750B3" w:rsidRPr="00004507" w:rsidRDefault="00A750B3" w:rsidP="00C15EA2">
      <w:pPr>
        <w:spacing w:before="240" w:line="276" w:lineRule="auto"/>
        <w:contextualSpacing/>
        <w:jc w:val="both"/>
        <w:rPr>
          <w:rFonts w:ascii="Arial" w:hAnsi="Arial" w:cs="Arial"/>
          <w:bCs/>
          <w:color w:val="000000" w:themeColor="text1"/>
          <w:lang w:val="en-US"/>
        </w:rPr>
      </w:pPr>
      <w:proofErr w:type="spellStart"/>
      <w:r w:rsidRPr="00004507">
        <w:rPr>
          <w:rFonts w:ascii="Arial" w:hAnsi="Arial" w:cs="Arial"/>
          <w:color w:val="000000" w:themeColor="text1"/>
          <w:lang w:val="en-US"/>
        </w:rPr>
        <w:t>Liton</w:t>
      </w:r>
      <w:proofErr w:type="spellEnd"/>
      <w:r w:rsidRPr="00004507">
        <w:rPr>
          <w:rFonts w:ascii="Arial" w:hAnsi="Arial" w:cs="Arial"/>
          <w:color w:val="000000" w:themeColor="text1"/>
          <w:lang w:val="en-US"/>
        </w:rPr>
        <w:t xml:space="preserve"> et al. </w:t>
      </w:r>
      <w:r w:rsidR="007674E2" w:rsidRPr="00004507">
        <w:rPr>
          <w:rFonts w:ascii="Arial" w:hAnsi="Arial" w:cs="Arial"/>
          <w:color w:val="000000" w:themeColor="text1"/>
          <w:shd w:val="clear" w:color="auto" w:fill="FFFFFF"/>
          <w:lang w:val="en-US"/>
        </w:rPr>
        <w:t>[4</w:t>
      </w:r>
      <w:r w:rsidR="008C7FBA">
        <w:rPr>
          <w:rFonts w:ascii="Arial" w:hAnsi="Arial" w:cs="Arial"/>
          <w:color w:val="000000" w:themeColor="text1"/>
          <w:shd w:val="clear" w:color="auto" w:fill="FFFFFF"/>
          <w:lang w:val="en-US"/>
        </w:rPr>
        <w:t>5</w:t>
      </w:r>
      <w:r w:rsidR="007C7494" w:rsidRPr="00004507">
        <w:rPr>
          <w:rFonts w:ascii="Arial" w:hAnsi="Arial" w:cs="Arial"/>
          <w:color w:val="000000" w:themeColor="text1"/>
          <w:shd w:val="clear" w:color="auto" w:fill="FFFFFF"/>
          <w:lang w:val="en-US"/>
        </w:rPr>
        <w:t xml:space="preserve">] </w:t>
      </w:r>
      <w:r w:rsidRPr="00004507">
        <w:rPr>
          <w:rFonts w:ascii="Arial" w:hAnsi="Arial" w:cs="Arial"/>
          <w:color w:val="000000" w:themeColor="text1"/>
          <w:shd w:val="clear" w:color="auto" w:fill="FFFFFF"/>
          <w:lang w:val="en-US"/>
        </w:rPr>
        <w:t>analyzed the g</w:t>
      </w:r>
      <w:r w:rsidRPr="00004507">
        <w:rPr>
          <w:rFonts w:ascii="Arial" w:hAnsi="Arial" w:cs="Arial"/>
          <w:bCs/>
          <w:color w:val="000000" w:themeColor="text1"/>
          <w:lang w:val="en-US"/>
        </w:rPr>
        <w:t xml:space="preserve">enome-wide expression profile of human trabecular meshwork cultured cells from </w:t>
      </w:r>
      <w:proofErr w:type="spellStart"/>
      <w:r w:rsidRPr="00004507">
        <w:rPr>
          <w:rFonts w:ascii="Arial" w:hAnsi="Arial" w:cs="Arial"/>
          <w:bCs/>
          <w:color w:val="000000" w:themeColor="text1"/>
          <w:lang w:val="en-US"/>
        </w:rPr>
        <w:t>nonglaucomatous</w:t>
      </w:r>
      <w:proofErr w:type="spellEnd"/>
      <w:r w:rsidRPr="00004507">
        <w:rPr>
          <w:rFonts w:ascii="Arial" w:hAnsi="Arial" w:cs="Arial"/>
          <w:bCs/>
          <w:color w:val="000000" w:themeColor="text1"/>
          <w:lang w:val="en-US"/>
        </w:rPr>
        <w:t xml:space="preserve"> and POAG tissue</w:t>
      </w:r>
      <w:r w:rsidR="001D5F0B" w:rsidRPr="00004507">
        <w:rPr>
          <w:rFonts w:ascii="Arial" w:hAnsi="Arial" w:cs="Arial"/>
          <w:bCs/>
          <w:color w:val="000000" w:themeColor="text1"/>
          <w:lang w:val="en-US"/>
        </w:rPr>
        <w:t xml:space="preserve">, observing </w:t>
      </w:r>
      <w:r w:rsidRPr="00004507">
        <w:rPr>
          <w:rFonts w:ascii="Arial" w:hAnsi="Arial" w:cs="Arial"/>
          <w:color w:val="000000" w:themeColor="text1"/>
          <w:shd w:val="clear" w:color="auto" w:fill="FFFFFF"/>
          <w:lang w:val="en-US"/>
        </w:rPr>
        <w:t xml:space="preserve">statistically significant </w:t>
      </w:r>
      <w:proofErr w:type="spellStart"/>
      <w:r w:rsidRPr="00004507">
        <w:rPr>
          <w:rFonts w:ascii="Arial" w:hAnsi="Arial" w:cs="Arial"/>
          <w:color w:val="000000" w:themeColor="text1"/>
          <w:shd w:val="clear" w:color="auto" w:fill="FFFFFF"/>
          <w:lang w:val="en-US"/>
        </w:rPr>
        <w:t>upregulation</w:t>
      </w:r>
      <w:proofErr w:type="spellEnd"/>
      <w:r w:rsidRPr="00004507">
        <w:rPr>
          <w:rFonts w:ascii="Arial" w:hAnsi="Arial" w:cs="Arial"/>
          <w:color w:val="000000" w:themeColor="text1"/>
          <w:shd w:val="clear" w:color="auto" w:fill="FFFFFF"/>
          <w:lang w:val="en-US"/>
        </w:rPr>
        <w:t xml:space="preserve"> of several genes associated with inflammation and acute-phase response, including </w:t>
      </w:r>
      <w:r w:rsidR="00A37DC8" w:rsidRPr="00004507">
        <w:rPr>
          <w:rFonts w:ascii="Arial" w:hAnsi="Arial" w:cs="Arial"/>
          <w:color w:val="000000" w:themeColor="text1"/>
          <w:shd w:val="clear" w:color="auto" w:fill="FFFFFF"/>
          <w:lang w:val="en-US"/>
        </w:rPr>
        <w:t>E-</w:t>
      </w:r>
      <w:proofErr w:type="spellStart"/>
      <w:r w:rsidR="00A37DC8" w:rsidRPr="00004507">
        <w:rPr>
          <w:rFonts w:ascii="Arial" w:hAnsi="Arial" w:cs="Arial"/>
          <w:color w:val="000000" w:themeColor="text1"/>
          <w:shd w:val="clear" w:color="auto" w:fill="FFFFFF"/>
          <w:lang w:val="en-US"/>
        </w:rPr>
        <w:t>selectin</w:t>
      </w:r>
      <w:proofErr w:type="spellEnd"/>
      <w:r w:rsidRPr="00004507">
        <w:rPr>
          <w:rFonts w:ascii="Arial" w:hAnsi="Arial" w:cs="Arial"/>
          <w:color w:val="000000" w:themeColor="text1"/>
          <w:shd w:val="clear" w:color="auto" w:fill="FFFFFF"/>
          <w:lang w:val="en-US"/>
        </w:rPr>
        <w:t xml:space="preserve">, as well as the </w:t>
      </w:r>
      <w:proofErr w:type="spellStart"/>
      <w:r w:rsidRPr="00004507">
        <w:rPr>
          <w:rFonts w:ascii="Arial" w:hAnsi="Arial" w:cs="Arial"/>
          <w:color w:val="000000" w:themeColor="text1"/>
          <w:shd w:val="clear" w:color="auto" w:fill="FFFFFF"/>
          <w:lang w:val="en-US"/>
        </w:rPr>
        <w:t>downregulation</w:t>
      </w:r>
      <w:proofErr w:type="spellEnd"/>
      <w:r w:rsidRPr="00004507">
        <w:rPr>
          <w:rFonts w:ascii="Arial" w:hAnsi="Arial" w:cs="Arial"/>
          <w:color w:val="000000" w:themeColor="text1"/>
          <w:shd w:val="clear" w:color="auto" w:fill="FFFFFF"/>
          <w:lang w:val="en-US"/>
        </w:rPr>
        <w:t xml:space="preserve"> of the antioxidants paraoxonase 3 and </w:t>
      </w:r>
      <w:proofErr w:type="spellStart"/>
      <w:r w:rsidRPr="00004507">
        <w:rPr>
          <w:rFonts w:ascii="Arial" w:hAnsi="Arial" w:cs="Arial"/>
          <w:color w:val="000000" w:themeColor="text1"/>
          <w:shd w:val="clear" w:color="auto" w:fill="FFFFFF"/>
          <w:lang w:val="en-US"/>
        </w:rPr>
        <w:t>ceruloplasmin</w:t>
      </w:r>
      <w:proofErr w:type="spellEnd"/>
      <w:r w:rsidRPr="00004507">
        <w:rPr>
          <w:rFonts w:ascii="Arial" w:hAnsi="Arial" w:cs="Arial"/>
          <w:color w:val="000000" w:themeColor="text1"/>
          <w:shd w:val="clear" w:color="auto" w:fill="FFFFFF"/>
          <w:lang w:val="en-US"/>
        </w:rPr>
        <w:t xml:space="preserve">. Joe and </w:t>
      </w:r>
      <w:proofErr w:type="spellStart"/>
      <w:r w:rsidRPr="00004507">
        <w:rPr>
          <w:rFonts w:ascii="Arial" w:hAnsi="Arial" w:cs="Arial"/>
          <w:color w:val="000000" w:themeColor="text1"/>
          <w:shd w:val="clear" w:color="auto" w:fill="FFFFFF"/>
          <w:lang w:val="en-US"/>
        </w:rPr>
        <w:t>Tomarev</w:t>
      </w:r>
      <w:proofErr w:type="spellEnd"/>
      <w:r w:rsidRPr="00004507">
        <w:rPr>
          <w:rFonts w:ascii="Arial" w:hAnsi="Arial" w:cs="Arial"/>
          <w:color w:val="000000" w:themeColor="text1"/>
          <w:shd w:val="clear" w:color="auto" w:fill="FFFFFF"/>
          <w:lang w:val="en-US"/>
        </w:rPr>
        <w:t xml:space="preserve"> </w:t>
      </w:r>
      <w:r w:rsidR="007C7494" w:rsidRPr="00004507">
        <w:rPr>
          <w:rFonts w:ascii="Arial" w:hAnsi="Arial" w:cs="Arial"/>
          <w:color w:val="000000" w:themeColor="text1"/>
          <w:shd w:val="clear" w:color="auto" w:fill="FFFFFF"/>
          <w:lang w:val="en-US"/>
        </w:rPr>
        <w:t>[4</w:t>
      </w:r>
      <w:r w:rsidR="008C7FBA">
        <w:rPr>
          <w:rFonts w:ascii="Arial" w:hAnsi="Arial" w:cs="Arial"/>
          <w:color w:val="000000" w:themeColor="text1"/>
          <w:shd w:val="clear" w:color="auto" w:fill="FFFFFF"/>
          <w:lang w:val="en-US"/>
        </w:rPr>
        <w:t>6</w:t>
      </w:r>
      <w:r w:rsidR="007C7494" w:rsidRPr="00004507">
        <w:rPr>
          <w:rFonts w:ascii="Arial" w:hAnsi="Arial" w:cs="Arial"/>
          <w:color w:val="000000" w:themeColor="text1"/>
          <w:shd w:val="clear" w:color="auto" w:fill="FFFFFF"/>
          <w:lang w:val="en-US"/>
        </w:rPr>
        <w:t xml:space="preserve">] </w:t>
      </w:r>
      <w:r w:rsidRPr="00004507">
        <w:rPr>
          <w:rFonts w:ascii="Arial" w:hAnsi="Arial" w:cs="Arial"/>
          <w:color w:val="000000" w:themeColor="text1"/>
          <w:shd w:val="clear" w:color="auto" w:fill="FFFFFF"/>
          <w:lang w:val="en-US"/>
        </w:rPr>
        <w:t xml:space="preserve">found that antioxidant proteins paraoxonase 2 and glutathione peroxidase 3 are down-regulated in the eye angle tissue of transgenic mice expressing a </w:t>
      </w:r>
      <w:proofErr w:type="spellStart"/>
      <w:r w:rsidRPr="00004507">
        <w:rPr>
          <w:rFonts w:ascii="Arial" w:hAnsi="Arial" w:cs="Arial"/>
          <w:color w:val="000000" w:themeColor="text1"/>
          <w:shd w:val="clear" w:color="auto" w:fill="FFFFFF"/>
          <w:lang w:val="en-US"/>
        </w:rPr>
        <w:t>myocilin</w:t>
      </w:r>
      <w:proofErr w:type="spellEnd"/>
      <w:r w:rsidRPr="00004507">
        <w:rPr>
          <w:rFonts w:ascii="Arial" w:hAnsi="Arial" w:cs="Arial"/>
          <w:color w:val="000000" w:themeColor="text1"/>
          <w:shd w:val="clear" w:color="auto" w:fill="FFFFFF"/>
          <w:lang w:val="en-US"/>
        </w:rPr>
        <w:t xml:space="preserve"> mutant. Mutations in the </w:t>
      </w:r>
      <w:proofErr w:type="spellStart"/>
      <w:r w:rsidRPr="00004507">
        <w:rPr>
          <w:rFonts w:ascii="Arial" w:hAnsi="Arial" w:cs="Arial"/>
          <w:color w:val="000000" w:themeColor="text1"/>
          <w:shd w:val="clear" w:color="auto" w:fill="FFFFFF"/>
          <w:lang w:val="en-US"/>
        </w:rPr>
        <w:t>myocilin</w:t>
      </w:r>
      <w:proofErr w:type="spellEnd"/>
      <w:r w:rsidRPr="00004507">
        <w:rPr>
          <w:rFonts w:ascii="Arial" w:hAnsi="Arial" w:cs="Arial"/>
          <w:color w:val="000000" w:themeColor="text1"/>
          <w:shd w:val="clear" w:color="auto" w:fill="FFFFFF"/>
          <w:lang w:val="en-US"/>
        </w:rPr>
        <w:t xml:space="preserve"> gene are associated with juvenile and adult-onset primary open-angle glaucoma. </w:t>
      </w:r>
    </w:p>
    <w:p w14:paraId="3006B8FF" w14:textId="2D0795FF" w:rsidR="00A750B3" w:rsidRPr="00004507" w:rsidRDefault="00A37DC8" w:rsidP="00C15EA2">
      <w:pPr>
        <w:pStyle w:val="WW-NormalWeb1"/>
        <w:spacing w:before="120" w:line="276" w:lineRule="auto"/>
        <w:jc w:val="both"/>
        <w:rPr>
          <w:rFonts w:ascii="Arial" w:hAnsi="Arial" w:cs="Arial"/>
          <w:color w:val="000000" w:themeColor="text1"/>
          <w:sz w:val="22"/>
          <w:szCs w:val="22"/>
          <w:shd w:val="clear" w:color="auto" w:fill="FFFFFF"/>
          <w:lang w:val="en-US"/>
        </w:rPr>
      </w:pPr>
      <w:r w:rsidRPr="00004507">
        <w:rPr>
          <w:rFonts w:ascii="Arial" w:hAnsi="Arial" w:cs="Arial"/>
          <w:bCs/>
          <w:color w:val="000000" w:themeColor="text1"/>
          <w:sz w:val="22"/>
          <w:szCs w:val="22"/>
          <w:lang w:val="en-US"/>
        </w:rPr>
        <w:t>Some p</w:t>
      </w:r>
      <w:r w:rsidR="00A750B3" w:rsidRPr="00004507">
        <w:rPr>
          <w:rFonts w:ascii="Arial" w:hAnsi="Arial" w:cs="Arial"/>
          <w:bCs/>
          <w:color w:val="000000" w:themeColor="text1"/>
          <w:sz w:val="22"/>
          <w:szCs w:val="22"/>
          <w:lang w:val="en-US"/>
        </w:rPr>
        <w:t xml:space="preserve">revious research </w:t>
      </w:r>
      <w:r w:rsidRPr="00004507">
        <w:rPr>
          <w:rFonts w:ascii="Arial" w:hAnsi="Arial" w:cs="Arial"/>
          <w:bCs/>
          <w:color w:val="000000" w:themeColor="text1"/>
          <w:sz w:val="22"/>
          <w:szCs w:val="22"/>
          <w:lang w:val="en-US"/>
        </w:rPr>
        <w:t>has investigated</w:t>
      </w:r>
      <w:r w:rsidR="00A750B3" w:rsidRPr="00004507">
        <w:rPr>
          <w:rFonts w:ascii="Arial" w:hAnsi="Arial" w:cs="Arial"/>
          <w:bCs/>
          <w:color w:val="000000" w:themeColor="text1"/>
          <w:sz w:val="22"/>
          <w:szCs w:val="22"/>
          <w:lang w:val="en-US"/>
        </w:rPr>
        <w:t xml:space="preserve"> PON1 enzyme activity in PEX, PEG</w:t>
      </w:r>
      <w:r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and other types of glaucoma </w:t>
      </w:r>
      <w:r w:rsidR="007674E2" w:rsidRPr="00004507">
        <w:rPr>
          <w:rFonts w:ascii="Arial" w:hAnsi="Arial" w:cs="Arial"/>
          <w:bCs/>
          <w:color w:val="000000" w:themeColor="text1"/>
          <w:sz w:val="22"/>
          <w:szCs w:val="22"/>
          <w:lang w:val="en-US"/>
        </w:rPr>
        <w:t>[10</w:t>
      </w:r>
      <w:proofErr w:type="gramStart"/>
      <w:r w:rsidR="007674E2" w:rsidRPr="00004507">
        <w:rPr>
          <w:rFonts w:ascii="Arial" w:hAnsi="Arial" w:cs="Arial"/>
          <w:bCs/>
          <w:color w:val="000000" w:themeColor="text1"/>
          <w:sz w:val="22"/>
          <w:szCs w:val="22"/>
          <w:lang w:val="en-US"/>
        </w:rPr>
        <w:t>,12,13,4</w:t>
      </w:r>
      <w:r w:rsidR="008C7FBA">
        <w:rPr>
          <w:rFonts w:ascii="Arial" w:hAnsi="Arial" w:cs="Arial"/>
          <w:bCs/>
          <w:color w:val="000000" w:themeColor="text1"/>
          <w:sz w:val="22"/>
          <w:szCs w:val="22"/>
          <w:lang w:val="en-US"/>
        </w:rPr>
        <w:t>7</w:t>
      </w:r>
      <w:r w:rsidR="007674E2" w:rsidRPr="00004507">
        <w:rPr>
          <w:rFonts w:ascii="Arial" w:hAnsi="Arial" w:cs="Arial"/>
          <w:bCs/>
          <w:color w:val="000000" w:themeColor="text1"/>
          <w:sz w:val="22"/>
          <w:szCs w:val="22"/>
          <w:lang w:val="en-US"/>
        </w:rPr>
        <w:t>,4</w:t>
      </w:r>
      <w:r w:rsidR="008C7FBA">
        <w:rPr>
          <w:rFonts w:ascii="Arial" w:hAnsi="Arial" w:cs="Arial"/>
          <w:bCs/>
          <w:color w:val="000000" w:themeColor="text1"/>
          <w:sz w:val="22"/>
          <w:szCs w:val="22"/>
          <w:lang w:val="en-US"/>
        </w:rPr>
        <w:t>8</w:t>
      </w:r>
      <w:proofErr w:type="gramEnd"/>
      <w:r w:rsidR="007C7494"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w:t>
      </w:r>
      <w:proofErr w:type="spellStart"/>
      <w:r w:rsidR="00F91313" w:rsidRPr="00004507">
        <w:rPr>
          <w:rFonts w:ascii="Arial" w:hAnsi="Arial" w:cs="Arial"/>
          <w:bCs/>
          <w:color w:val="000000" w:themeColor="text1"/>
          <w:sz w:val="22"/>
          <w:szCs w:val="22"/>
          <w:lang w:val="en-US"/>
        </w:rPr>
        <w:t>Yağcı</w:t>
      </w:r>
      <w:proofErr w:type="spellEnd"/>
      <w:r w:rsidR="00F91313" w:rsidRPr="00004507">
        <w:rPr>
          <w:rFonts w:ascii="Arial" w:hAnsi="Arial" w:cs="Arial"/>
          <w:bCs/>
          <w:color w:val="000000" w:themeColor="text1"/>
          <w:sz w:val="22"/>
          <w:szCs w:val="22"/>
          <w:lang w:val="en-US"/>
        </w:rPr>
        <w:t xml:space="preserve"> et al.</w:t>
      </w:r>
      <w:r w:rsidR="00A750B3" w:rsidRPr="00004507">
        <w:rPr>
          <w:rFonts w:ascii="Arial" w:hAnsi="Arial" w:cs="Arial"/>
          <w:bCs/>
          <w:color w:val="000000" w:themeColor="text1"/>
          <w:sz w:val="22"/>
          <w:szCs w:val="22"/>
          <w:lang w:val="en-US"/>
        </w:rPr>
        <w:t xml:space="preserve"> </w:t>
      </w:r>
      <w:r w:rsidR="00890D12" w:rsidRPr="00004507">
        <w:rPr>
          <w:rFonts w:ascii="Arial" w:hAnsi="Arial" w:cs="Arial"/>
          <w:bCs/>
          <w:color w:val="000000" w:themeColor="text1"/>
          <w:sz w:val="22"/>
          <w:szCs w:val="22"/>
          <w:lang w:val="en-US"/>
        </w:rPr>
        <w:t xml:space="preserve">[10] </w:t>
      </w:r>
      <w:r w:rsidR="00A750B3" w:rsidRPr="00004507">
        <w:rPr>
          <w:rFonts w:ascii="Arial" w:hAnsi="Arial" w:cs="Arial"/>
          <w:bCs/>
          <w:color w:val="000000" w:themeColor="text1"/>
          <w:sz w:val="22"/>
          <w:szCs w:val="22"/>
          <w:lang w:val="en-US"/>
        </w:rPr>
        <w:t xml:space="preserve">reported lower serum paraoxonase activity in PEX patients. </w:t>
      </w:r>
      <w:proofErr w:type="spellStart"/>
      <w:r w:rsidR="00F91313" w:rsidRPr="00004507">
        <w:rPr>
          <w:rFonts w:ascii="Arial" w:hAnsi="Arial" w:cs="Arial"/>
          <w:color w:val="000000" w:themeColor="text1"/>
          <w:sz w:val="22"/>
          <w:szCs w:val="22"/>
          <w:lang w:val="en-US"/>
        </w:rPr>
        <w:t>Dursun</w:t>
      </w:r>
      <w:proofErr w:type="spellEnd"/>
      <w:r w:rsidR="00F91313" w:rsidRPr="00004507">
        <w:rPr>
          <w:rFonts w:ascii="Arial" w:hAnsi="Arial" w:cs="Arial"/>
          <w:color w:val="000000" w:themeColor="text1"/>
          <w:sz w:val="22"/>
          <w:szCs w:val="22"/>
          <w:lang w:val="en-US"/>
        </w:rPr>
        <w:t xml:space="preserve"> et al.</w:t>
      </w:r>
      <w:r w:rsidR="00A750B3" w:rsidRPr="00004507">
        <w:rPr>
          <w:rFonts w:ascii="Arial" w:hAnsi="Arial" w:cs="Arial"/>
          <w:color w:val="000000" w:themeColor="text1"/>
          <w:sz w:val="22"/>
          <w:szCs w:val="22"/>
          <w:lang w:val="en-US"/>
        </w:rPr>
        <w:t xml:space="preserve"> </w:t>
      </w:r>
      <w:r w:rsidR="007674E2" w:rsidRPr="00004507">
        <w:rPr>
          <w:rFonts w:ascii="Arial" w:hAnsi="Arial" w:cs="Arial"/>
          <w:color w:val="000000" w:themeColor="text1"/>
          <w:sz w:val="22"/>
          <w:szCs w:val="22"/>
          <w:lang w:val="en-US"/>
        </w:rPr>
        <w:t xml:space="preserve">[13] </w:t>
      </w:r>
      <w:r w:rsidR="00A750B3" w:rsidRPr="00004507">
        <w:rPr>
          <w:rFonts w:ascii="Arial" w:hAnsi="Arial" w:cs="Arial"/>
          <w:color w:val="000000" w:themeColor="text1"/>
          <w:sz w:val="22"/>
          <w:szCs w:val="22"/>
          <w:lang w:val="en-US"/>
        </w:rPr>
        <w:t xml:space="preserve">found that </w:t>
      </w:r>
      <w:r w:rsidRPr="00004507">
        <w:rPr>
          <w:rFonts w:ascii="Arial" w:hAnsi="Arial" w:cs="Arial"/>
          <w:color w:val="000000" w:themeColor="text1"/>
          <w:sz w:val="22"/>
          <w:szCs w:val="22"/>
          <w:lang w:val="en-US"/>
        </w:rPr>
        <w:t xml:space="preserve">the </w:t>
      </w:r>
      <w:r w:rsidR="00A750B3" w:rsidRPr="00004507">
        <w:rPr>
          <w:rFonts w:ascii="Arial" w:hAnsi="Arial" w:cs="Arial"/>
          <w:bCs/>
          <w:color w:val="000000" w:themeColor="text1"/>
          <w:sz w:val="22"/>
          <w:szCs w:val="22"/>
          <w:lang w:val="en-US"/>
        </w:rPr>
        <w:t>serum and aqueous humor paraoxo</w:t>
      </w:r>
      <w:r w:rsidRPr="00004507">
        <w:rPr>
          <w:rFonts w:ascii="Arial" w:hAnsi="Arial" w:cs="Arial"/>
          <w:bCs/>
          <w:color w:val="000000" w:themeColor="text1"/>
          <w:sz w:val="22"/>
          <w:szCs w:val="22"/>
          <w:lang w:val="en-US"/>
        </w:rPr>
        <w:t xml:space="preserve">nase and </w:t>
      </w:r>
      <w:proofErr w:type="spellStart"/>
      <w:r w:rsidRPr="00004507">
        <w:rPr>
          <w:rFonts w:ascii="Arial" w:hAnsi="Arial" w:cs="Arial"/>
          <w:bCs/>
          <w:color w:val="000000" w:themeColor="text1"/>
          <w:sz w:val="22"/>
          <w:szCs w:val="22"/>
          <w:lang w:val="en-US"/>
        </w:rPr>
        <w:t>arylesterase</w:t>
      </w:r>
      <w:proofErr w:type="spellEnd"/>
      <w:r w:rsidRPr="00004507">
        <w:rPr>
          <w:rFonts w:ascii="Arial" w:hAnsi="Arial" w:cs="Arial"/>
          <w:bCs/>
          <w:color w:val="000000" w:themeColor="text1"/>
          <w:sz w:val="22"/>
          <w:szCs w:val="22"/>
          <w:lang w:val="en-US"/>
        </w:rPr>
        <w:t xml:space="preserve"> activity</w:t>
      </w:r>
      <w:r w:rsidR="00A750B3" w:rsidRPr="00004507">
        <w:rPr>
          <w:rFonts w:ascii="Arial" w:hAnsi="Arial" w:cs="Arial"/>
          <w:bCs/>
          <w:color w:val="000000" w:themeColor="text1"/>
          <w:sz w:val="22"/>
          <w:szCs w:val="22"/>
          <w:lang w:val="en-US"/>
        </w:rPr>
        <w:t xml:space="preserve"> of PEX and PEG patients were </w:t>
      </w:r>
      <w:r w:rsidR="00A750B3" w:rsidRPr="00004507">
        <w:rPr>
          <w:rFonts w:ascii="Arial" w:hAnsi="Arial" w:cs="Arial"/>
          <w:color w:val="000000" w:themeColor="text1"/>
          <w:sz w:val="22"/>
          <w:szCs w:val="22"/>
          <w:lang w:val="en-US"/>
        </w:rPr>
        <w:t xml:space="preserve">significantly decreased compared with the control group. Moreover, these parameters were found to be significantly different between PEX and PEG groups. </w:t>
      </w:r>
      <w:r w:rsidRPr="00004507">
        <w:rPr>
          <w:rFonts w:ascii="Arial" w:hAnsi="Arial" w:cs="Arial"/>
          <w:color w:val="000000" w:themeColor="text1"/>
          <w:sz w:val="22"/>
          <w:szCs w:val="22"/>
          <w:lang w:val="en-US"/>
        </w:rPr>
        <w:t>However, t</w:t>
      </w:r>
      <w:r w:rsidR="00A750B3" w:rsidRPr="00004507">
        <w:rPr>
          <w:rFonts w:ascii="Arial" w:hAnsi="Arial" w:cs="Arial"/>
          <w:color w:val="000000" w:themeColor="text1"/>
          <w:sz w:val="22"/>
          <w:szCs w:val="22"/>
          <w:lang w:val="en-US"/>
        </w:rPr>
        <w:t xml:space="preserve">he paraoxonase and </w:t>
      </w:r>
      <w:proofErr w:type="spellStart"/>
      <w:r w:rsidR="00A750B3" w:rsidRPr="00004507">
        <w:rPr>
          <w:rFonts w:ascii="Arial" w:hAnsi="Arial" w:cs="Arial"/>
          <w:color w:val="000000" w:themeColor="text1"/>
          <w:sz w:val="22"/>
          <w:szCs w:val="22"/>
          <w:lang w:val="en-US"/>
        </w:rPr>
        <w:t>arylesterase</w:t>
      </w:r>
      <w:proofErr w:type="spellEnd"/>
      <w:r w:rsidR="00A750B3" w:rsidRPr="00004507">
        <w:rPr>
          <w:rFonts w:ascii="Arial" w:hAnsi="Arial" w:cs="Arial"/>
          <w:color w:val="000000" w:themeColor="text1"/>
          <w:sz w:val="22"/>
          <w:szCs w:val="22"/>
          <w:lang w:val="en-US"/>
        </w:rPr>
        <w:t xml:space="preserve"> activities of </w:t>
      </w:r>
      <w:r w:rsidRPr="00004507">
        <w:rPr>
          <w:rFonts w:ascii="Arial" w:hAnsi="Arial" w:cs="Arial"/>
          <w:color w:val="000000" w:themeColor="text1"/>
          <w:sz w:val="22"/>
          <w:szCs w:val="22"/>
          <w:lang w:val="en-US"/>
        </w:rPr>
        <w:t xml:space="preserve">the </w:t>
      </w:r>
      <w:r w:rsidR="00A750B3" w:rsidRPr="00004507">
        <w:rPr>
          <w:rFonts w:ascii="Arial" w:hAnsi="Arial" w:cs="Arial"/>
          <w:color w:val="000000" w:themeColor="text1"/>
          <w:sz w:val="22"/>
          <w:szCs w:val="22"/>
          <w:lang w:val="en-US"/>
        </w:rPr>
        <w:t xml:space="preserve">aqueous humor did not differ significantly between the PEX and PEG patients </w:t>
      </w:r>
      <w:r w:rsidR="00890D12" w:rsidRPr="00004507">
        <w:rPr>
          <w:rFonts w:ascii="Arial" w:hAnsi="Arial" w:cs="Arial"/>
          <w:color w:val="000000" w:themeColor="text1"/>
          <w:sz w:val="22"/>
          <w:szCs w:val="22"/>
          <w:lang w:val="en-US"/>
        </w:rPr>
        <w:t>[13]</w:t>
      </w:r>
      <w:r w:rsidR="00A750B3" w:rsidRPr="00004507">
        <w:rPr>
          <w:rFonts w:ascii="Arial" w:hAnsi="Arial" w:cs="Arial"/>
          <w:color w:val="000000" w:themeColor="text1"/>
          <w:sz w:val="22"/>
          <w:szCs w:val="22"/>
          <w:lang w:val="en-US"/>
        </w:rPr>
        <w:t xml:space="preserve">. Decreased </w:t>
      </w:r>
      <w:r w:rsidR="00A750B3" w:rsidRPr="00004507">
        <w:rPr>
          <w:rFonts w:ascii="Arial" w:hAnsi="Arial" w:cs="Arial"/>
          <w:color w:val="000000" w:themeColor="text1"/>
          <w:sz w:val="22"/>
          <w:lang w:val="en-US"/>
        </w:rPr>
        <w:t xml:space="preserve">PON1 activity, as well as increased MDA and </w:t>
      </w:r>
      <w:r w:rsidRPr="00004507">
        <w:rPr>
          <w:rFonts w:ascii="Arial" w:hAnsi="Arial" w:cs="Arial"/>
          <w:color w:val="000000" w:themeColor="text1"/>
          <w:sz w:val="22"/>
          <w:lang w:val="en-US"/>
        </w:rPr>
        <w:t xml:space="preserve">8-hydroxy-2′-deoxyguanosine (8-OHdG) </w:t>
      </w:r>
      <w:r w:rsidR="00A750B3" w:rsidRPr="00004507">
        <w:rPr>
          <w:rFonts w:ascii="Arial" w:hAnsi="Arial" w:cs="Arial"/>
          <w:color w:val="000000" w:themeColor="text1"/>
          <w:sz w:val="22"/>
          <w:szCs w:val="22"/>
          <w:lang w:val="en-US"/>
        </w:rPr>
        <w:t xml:space="preserve">levels, </w:t>
      </w:r>
      <w:r w:rsidR="00A750B3" w:rsidRPr="00004507">
        <w:rPr>
          <w:rFonts w:ascii="Arial" w:hAnsi="Arial" w:cs="Arial"/>
          <w:bCs/>
          <w:color w:val="000000" w:themeColor="text1"/>
          <w:sz w:val="22"/>
          <w:szCs w:val="22"/>
          <w:lang w:val="en-US"/>
        </w:rPr>
        <w:t>implying increased o</w:t>
      </w:r>
      <w:r w:rsidR="00A750B3" w:rsidRPr="00004507">
        <w:rPr>
          <w:rFonts w:ascii="Arial" w:hAnsi="Arial" w:cs="Arial"/>
          <w:color w:val="000000" w:themeColor="text1"/>
          <w:sz w:val="22"/>
          <w:szCs w:val="22"/>
          <w:lang w:val="en-US"/>
        </w:rPr>
        <w:t>xidative stress, were observed</w:t>
      </w:r>
      <w:r w:rsidR="00A750B3" w:rsidRPr="00004507">
        <w:rPr>
          <w:rFonts w:ascii="Arial" w:hAnsi="Arial" w:cs="Arial"/>
          <w:bCs/>
          <w:color w:val="000000" w:themeColor="text1"/>
          <w:sz w:val="22"/>
          <w:szCs w:val="22"/>
          <w:lang w:val="en-US"/>
        </w:rPr>
        <w:t xml:space="preserve"> </w:t>
      </w:r>
      <w:r w:rsidR="00A750B3" w:rsidRPr="00004507">
        <w:rPr>
          <w:rFonts w:ascii="Arial" w:hAnsi="Arial" w:cs="Arial"/>
          <w:color w:val="000000" w:themeColor="text1"/>
          <w:sz w:val="22"/>
          <w:szCs w:val="22"/>
          <w:lang w:val="en-US"/>
        </w:rPr>
        <w:t xml:space="preserve">in patients with </w:t>
      </w:r>
      <w:r w:rsidR="00A750B3" w:rsidRPr="00004507">
        <w:rPr>
          <w:rFonts w:ascii="Arial" w:hAnsi="Arial" w:cs="Arial"/>
          <w:color w:val="000000" w:themeColor="text1"/>
          <w:sz w:val="22"/>
          <w:szCs w:val="22"/>
          <w:shd w:val="clear" w:color="auto" w:fill="FFFFFF"/>
          <w:lang w:val="en-US"/>
        </w:rPr>
        <w:t xml:space="preserve">primary open-angle glaucoma </w:t>
      </w:r>
      <w:r w:rsidR="007674E2" w:rsidRPr="00004507">
        <w:rPr>
          <w:rFonts w:ascii="Arial" w:hAnsi="Arial" w:cs="Arial"/>
          <w:color w:val="000000" w:themeColor="text1"/>
          <w:sz w:val="22"/>
          <w:szCs w:val="22"/>
          <w:shd w:val="clear" w:color="auto" w:fill="FFFFFF"/>
          <w:lang w:val="en-US"/>
        </w:rPr>
        <w:t>[4</w:t>
      </w:r>
      <w:r w:rsidR="008C7FBA">
        <w:rPr>
          <w:rFonts w:ascii="Arial" w:hAnsi="Arial" w:cs="Arial"/>
          <w:color w:val="000000" w:themeColor="text1"/>
          <w:sz w:val="22"/>
          <w:szCs w:val="22"/>
          <w:shd w:val="clear" w:color="auto" w:fill="FFFFFF"/>
          <w:lang w:val="en-US"/>
        </w:rPr>
        <w:t>7</w:t>
      </w:r>
      <w:r w:rsidR="00F91313" w:rsidRPr="00004507">
        <w:rPr>
          <w:rFonts w:ascii="Arial" w:hAnsi="Arial" w:cs="Arial"/>
          <w:color w:val="000000" w:themeColor="text1"/>
          <w:sz w:val="22"/>
          <w:szCs w:val="22"/>
          <w:shd w:val="clear" w:color="auto" w:fill="FFFFFF"/>
          <w:lang w:val="en-US"/>
        </w:rPr>
        <w:t>]</w:t>
      </w:r>
      <w:r w:rsidRPr="00004507">
        <w:rPr>
          <w:rFonts w:ascii="Arial" w:hAnsi="Arial" w:cs="Arial"/>
          <w:bCs/>
          <w:color w:val="000000" w:themeColor="text1"/>
          <w:sz w:val="22"/>
          <w:szCs w:val="22"/>
          <w:lang w:val="en-US"/>
        </w:rPr>
        <w:t>. In our previous study, we</w:t>
      </w:r>
      <w:r w:rsidR="00A750B3" w:rsidRPr="00004507">
        <w:rPr>
          <w:rFonts w:ascii="Arial" w:hAnsi="Arial" w:cs="Arial"/>
          <w:bCs/>
          <w:color w:val="000000" w:themeColor="text1"/>
          <w:sz w:val="22"/>
          <w:szCs w:val="22"/>
          <w:lang w:val="en-US"/>
        </w:rPr>
        <w:t xml:space="preserve"> observed that</w:t>
      </w:r>
      <w:r w:rsidRPr="00004507">
        <w:rPr>
          <w:rFonts w:ascii="Arial" w:hAnsi="Arial" w:cs="Arial"/>
          <w:bCs/>
          <w:color w:val="000000" w:themeColor="text1"/>
          <w:sz w:val="22"/>
          <w:szCs w:val="22"/>
          <w:lang w:val="en-US"/>
        </w:rPr>
        <w:t xml:space="preserve"> the</w:t>
      </w:r>
      <w:r w:rsidR="00A750B3" w:rsidRPr="00004507">
        <w:rPr>
          <w:rFonts w:ascii="Arial" w:hAnsi="Arial" w:cs="Arial"/>
          <w:bCs/>
          <w:color w:val="000000" w:themeColor="text1"/>
          <w:sz w:val="22"/>
          <w:szCs w:val="22"/>
          <w:lang w:val="en-US"/>
        </w:rPr>
        <w:t xml:space="preserve"> </w:t>
      </w:r>
      <w:r w:rsidRPr="00004507">
        <w:rPr>
          <w:rFonts w:ascii="Arial" w:hAnsi="Arial" w:cs="Arial"/>
          <w:bCs/>
          <w:color w:val="000000" w:themeColor="text1"/>
          <w:sz w:val="22"/>
          <w:szCs w:val="22"/>
          <w:lang w:val="en-US"/>
        </w:rPr>
        <w:t xml:space="preserve">basal </w:t>
      </w:r>
      <w:r w:rsidR="00A750B3" w:rsidRPr="00004507">
        <w:rPr>
          <w:rFonts w:ascii="Arial" w:hAnsi="Arial" w:cs="Arial"/>
          <w:bCs/>
          <w:color w:val="000000" w:themeColor="text1"/>
          <w:sz w:val="22"/>
          <w:szCs w:val="22"/>
          <w:lang w:val="en-US"/>
        </w:rPr>
        <w:t xml:space="preserve">serum PON1 activity of PEX patients was significantly higher than that of the controls; on the other hand, there was no difference between </w:t>
      </w:r>
      <w:r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 xml:space="preserve">PEG patients and </w:t>
      </w:r>
      <w:r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 xml:space="preserve">controls in terms of basal PON1 activity. Salt-induced PON1 activity and </w:t>
      </w:r>
      <w:proofErr w:type="spellStart"/>
      <w:r w:rsidR="00A750B3" w:rsidRPr="00004507">
        <w:rPr>
          <w:rFonts w:ascii="Arial" w:hAnsi="Arial" w:cs="Arial"/>
          <w:bCs/>
          <w:color w:val="000000" w:themeColor="text1"/>
          <w:sz w:val="22"/>
          <w:szCs w:val="22"/>
          <w:lang w:val="en-US"/>
        </w:rPr>
        <w:t>arylesterase</w:t>
      </w:r>
      <w:proofErr w:type="spellEnd"/>
      <w:r w:rsidR="00A750B3" w:rsidRPr="00004507">
        <w:rPr>
          <w:rFonts w:ascii="Arial" w:hAnsi="Arial" w:cs="Arial"/>
          <w:bCs/>
          <w:color w:val="000000" w:themeColor="text1"/>
          <w:sz w:val="22"/>
          <w:szCs w:val="22"/>
          <w:lang w:val="en-US"/>
        </w:rPr>
        <w:t xml:space="preserve"> activity did not differ significantly between </w:t>
      </w:r>
      <w:r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patients and controls</w:t>
      </w:r>
      <w:r w:rsidRPr="00004507">
        <w:rPr>
          <w:rFonts w:ascii="Arial" w:hAnsi="Arial" w:cs="Arial"/>
          <w:bCs/>
          <w:color w:val="000000" w:themeColor="text1"/>
          <w:sz w:val="22"/>
          <w:szCs w:val="22"/>
          <w:lang w:val="en-US"/>
        </w:rPr>
        <w:t xml:space="preserve"> either</w:t>
      </w:r>
      <w:r w:rsidR="00A750B3" w:rsidRPr="00004507">
        <w:rPr>
          <w:rFonts w:ascii="Arial" w:hAnsi="Arial" w:cs="Arial"/>
          <w:bCs/>
          <w:color w:val="000000" w:themeColor="text1"/>
          <w:sz w:val="22"/>
          <w:szCs w:val="22"/>
          <w:lang w:val="en-US"/>
        </w:rPr>
        <w:t xml:space="preserve">. </w:t>
      </w:r>
      <w:r w:rsidRPr="00004507">
        <w:rPr>
          <w:rFonts w:ascii="Arial" w:hAnsi="Arial" w:cs="Arial"/>
          <w:bCs/>
          <w:color w:val="000000" w:themeColor="text1"/>
          <w:sz w:val="22"/>
          <w:szCs w:val="22"/>
          <w:lang w:val="en-US"/>
        </w:rPr>
        <w:t>Three p</w:t>
      </w:r>
      <w:r w:rsidR="00A750B3" w:rsidRPr="00004507">
        <w:rPr>
          <w:rFonts w:ascii="Arial" w:hAnsi="Arial" w:cs="Arial"/>
          <w:bCs/>
          <w:color w:val="000000" w:themeColor="text1"/>
          <w:sz w:val="22"/>
          <w:szCs w:val="22"/>
          <w:lang w:val="en-US"/>
        </w:rPr>
        <w:t>henot</w:t>
      </w:r>
      <w:r w:rsidRPr="00004507">
        <w:rPr>
          <w:rFonts w:ascii="Arial" w:hAnsi="Arial" w:cs="Arial"/>
          <w:bCs/>
          <w:color w:val="000000" w:themeColor="text1"/>
          <w:sz w:val="22"/>
          <w:szCs w:val="22"/>
          <w:lang w:val="en-US"/>
        </w:rPr>
        <w:t>ypes were then determined by consider</w:t>
      </w:r>
      <w:r w:rsidR="00A750B3" w:rsidRPr="00004507">
        <w:rPr>
          <w:rFonts w:ascii="Arial" w:hAnsi="Arial" w:cs="Arial"/>
          <w:bCs/>
          <w:color w:val="000000" w:themeColor="text1"/>
          <w:sz w:val="22"/>
          <w:szCs w:val="22"/>
          <w:lang w:val="en-US"/>
        </w:rPr>
        <w:t>ing the proportion of stimulated PON1 ac</w:t>
      </w:r>
      <w:r w:rsidRPr="00004507">
        <w:rPr>
          <w:rFonts w:ascii="Arial" w:hAnsi="Arial" w:cs="Arial"/>
          <w:bCs/>
          <w:color w:val="000000" w:themeColor="text1"/>
          <w:sz w:val="22"/>
          <w:szCs w:val="22"/>
          <w:lang w:val="en-US"/>
        </w:rPr>
        <w:t xml:space="preserve">tivity to </w:t>
      </w:r>
      <w:proofErr w:type="spellStart"/>
      <w:r w:rsidRPr="00004507">
        <w:rPr>
          <w:rFonts w:ascii="Arial" w:hAnsi="Arial" w:cs="Arial"/>
          <w:bCs/>
          <w:color w:val="000000" w:themeColor="text1"/>
          <w:sz w:val="22"/>
          <w:szCs w:val="22"/>
          <w:lang w:val="en-US"/>
        </w:rPr>
        <w:t>arylesterase</w:t>
      </w:r>
      <w:proofErr w:type="spellEnd"/>
      <w:r w:rsidRPr="00004507">
        <w:rPr>
          <w:rFonts w:ascii="Arial" w:hAnsi="Arial" w:cs="Arial"/>
          <w:bCs/>
          <w:color w:val="000000" w:themeColor="text1"/>
          <w:sz w:val="22"/>
          <w:szCs w:val="22"/>
          <w:lang w:val="en-US"/>
        </w:rPr>
        <w:t xml:space="preserve"> activity: </w:t>
      </w:r>
      <w:r w:rsidR="00A750B3" w:rsidRPr="00004507">
        <w:rPr>
          <w:rFonts w:ascii="Arial" w:hAnsi="Arial" w:cs="Arial"/>
          <w:bCs/>
          <w:color w:val="000000" w:themeColor="text1"/>
          <w:sz w:val="22"/>
          <w:szCs w:val="22"/>
          <w:lang w:val="en-US"/>
        </w:rPr>
        <w:t>AA (low activity), AB (moderate activity)</w:t>
      </w:r>
      <w:r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and BB (high activity)</w:t>
      </w:r>
      <w:r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The BB phenotype was more </w:t>
      </w:r>
      <w:r w:rsidR="00A750B3" w:rsidRPr="00004507">
        <w:rPr>
          <w:rFonts w:ascii="Arial" w:hAnsi="Arial" w:cs="Arial"/>
          <w:bCs/>
          <w:color w:val="000000" w:themeColor="text1"/>
          <w:sz w:val="22"/>
          <w:szCs w:val="22"/>
          <w:lang w:val="en-US"/>
        </w:rPr>
        <w:lastRenderedPageBreak/>
        <w:t xml:space="preserve">common in </w:t>
      </w:r>
      <w:r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 xml:space="preserve">PEX patients (25%) than in </w:t>
      </w:r>
      <w:r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 xml:space="preserve">controls (3.1%) </w:t>
      </w:r>
      <w:r w:rsidR="00F91313" w:rsidRPr="00004507">
        <w:rPr>
          <w:rFonts w:ascii="Arial" w:hAnsi="Arial" w:cs="Arial"/>
          <w:bCs/>
          <w:color w:val="000000" w:themeColor="text1"/>
          <w:sz w:val="22"/>
          <w:szCs w:val="22"/>
          <w:lang w:val="en-US"/>
        </w:rPr>
        <w:t>[12]</w:t>
      </w:r>
      <w:r w:rsidR="00A750B3" w:rsidRPr="00004507">
        <w:rPr>
          <w:rFonts w:ascii="Arial" w:hAnsi="Arial" w:cs="Arial"/>
          <w:bCs/>
          <w:color w:val="000000" w:themeColor="text1"/>
          <w:sz w:val="22"/>
          <w:szCs w:val="22"/>
          <w:lang w:val="en-US"/>
        </w:rPr>
        <w:t>. The BB phenotype has a low antioxidant protection capacity, but</w:t>
      </w:r>
      <w:r w:rsidRPr="00004507">
        <w:rPr>
          <w:rFonts w:ascii="Arial" w:hAnsi="Arial" w:cs="Arial"/>
          <w:bCs/>
          <w:color w:val="000000" w:themeColor="text1"/>
          <w:sz w:val="22"/>
          <w:szCs w:val="22"/>
          <w:lang w:val="en-US"/>
        </w:rPr>
        <w:t xml:space="preserve"> a high (salt-induced) </w:t>
      </w:r>
      <w:proofErr w:type="spellStart"/>
      <w:r w:rsidRPr="00004507">
        <w:rPr>
          <w:rFonts w:ascii="Arial" w:hAnsi="Arial" w:cs="Arial"/>
          <w:bCs/>
          <w:color w:val="000000" w:themeColor="text1"/>
          <w:sz w:val="22"/>
          <w:szCs w:val="22"/>
          <w:lang w:val="en-US"/>
        </w:rPr>
        <w:t>paraoxon</w:t>
      </w:r>
      <w:proofErr w:type="spellEnd"/>
      <w:r w:rsidR="00A750B3" w:rsidRPr="00004507">
        <w:rPr>
          <w:rFonts w:ascii="Arial" w:hAnsi="Arial" w:cs="Arial"/>
          <w:bCs/>
          <w:color w:val="000000" w:themeColor="text1"/>
          <w:sz w:val="22"/>
          <w:szCs w:val="22"/>
          <w:lang w:val="en-US"/>
        </w:rPr>
        <w:t xml:space="preserve"> hydrolysis rate </w:t>
      </w:r>
      <w:r w:rsidR="007674E2" w:rsidRPr="00004507">
        <w:rPr>
          <w:rFonts w:ascii="Arial" w:hAnsi="Arial" w:cs="Arial"/>
          <w:bCs/>
          <w:color w:val="000000" w:themeColor="text1"/>
          <w:sz w:val="22"/>
          <w:szCs w:val="22"/>
          <w:lang w:val="en-US"/>
        </w:rPr>
        <w:t>[4</w:t>
      </w:r>
      <w:r w:rsidR="008C7FBA">
        <w:rPr>
          <w:rFonts w:ascii="Arial" w:hAnsi="Arial" w:cs="Arial"/>
          <w:bCs/>
          <w:color w:val="000000" w:themeColor="text1"/>
          <w:sz w:val="22"/>
          <w:szCs w:val="22"/>
          <w:lang w:val="en-US"/>
        </w:rPr>
        <w:t>9</w:t>
      </w:r>
      <w:r w:rsidR="00F91313"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Thus, our findings indicated a possible role for the anti</w:t>
      </w:r>
      <w:r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oxidant and anti-inflammatory PON1 enzyme in the pathogenesis of PEX </w:t>
      </w:r>
      <w:r w:rsidR="000D2A47" w:rsidRPr="00004507">
        <w:rPr>
          <w:rFonts w:ascii="Arial" w:hAnsi="Arial" w:cs="Arial"/>
          <w:bCs/>
          <w:color w:val="000000" w:themeColor="text1"/>
          <w:sz w:val="22"/>
          <w:szCs w:val="22"/>
          <w:lang w:val="en-US"/>
        </w:rPr>
        <w:t>[12]</w:t>
      </w:r>
      <w:r w:rsidR="00A750B3" w:rsidRPr="00004507">
        <w:rPr>
          <w:rFonts w:ascii="Arial" w:hAnsi="Arial" w:cs="Arial"/>
          <w:bCs/>
          <w:color w:val="000000" w:themeColor="text1"/>
          <w:sz w:val="22"/>
          <w:szCs w:val="22"/>
          <w:lang w:val="en-US"/>
        </w:rPr>
        <w:t xml:space="preserve">. A recent study in </w:t>
      </w:r>
      <w:r w:rsidR="006156C9"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Turkish population also analyzed PON1 phenotypes in PEG as well as normal tension glaucoma (NTG). The prevalence of the RR phenotype (corresponding to the BB phenotype in our previous work) was reported to be 6.5%, 3.1%</w:t>
      </w:r>
      <w:r w:rsidR="006156C9"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and 7.5% in </w:t>
      </w:r>
      <w:r w:rsidR="006156C9" w:rsidRPr="00004507">
        <w:rPr>
          <w:rFonts w:ascii="Arial" w:hAnsi="Arial" w:cs="Arial"/>
          <w:bCs/>
          <w:color w:val="000000" w:themeColor="text1"/>
          <w:sz w:val="22"/>
          <w:szCs w:val="22"/>
          <w:lang w:val="en-US"/>
        </w:rPr>
        <w:t xml:space="preserve">the </w:t>
      </w:r>
      <w:r w:rsidR="00A750B3" w:rsidRPr="00004507">
        <w:rPr>
          <w:rFonts w:ascii="Arial" w:hAnsi="Arial" w:cs="Arial"/>
          <w:bCs/>
          <w:color w:val="000000" w:themeColor="text1"/>
          <w:sz w:val="22"/>
          <w:szCs w:val="22"/>
          <w:lang w:val="en-US"/>
        </w:rPr>
        <w:t>PEG, NTG</w:t>
      </w:r>
      <w:r w:rsidR="006156C9"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and control groups, respectively. </w:t>
      </w:r>
      <w:r w:rsidR="006156C9" w:rsidRPr="00004507">
        <w:rPr>
          <w:rFonts w:ascii="Arial" w:hAnsi="Arial" w:cs="Arial"/>
          <w:bCs/>
          <w:color w:val="000000" w:themeColor="text1"/>
          <w:sz w:val="22"/>
          <w:szCs w:val="22"/>
          <w:lang w:val="en-US"/>
        </w:rPr>
        <w:t>However, th</w:t>
      </w:r>
      <w:r w:rsidR="00A750B3" w:rsidRPr="00004507">
        <w:rPr>
          <w:rFonts w:ascii="Arial" w:hAnsi="Arial" w:cs="Arial"/>
          <w:bCs/>
          <w:color w:val="000000" w:themeColor="text1"/>
          <w:sz w:val="22"/>
          <w:szCs w:val="22"/>
          <w:lang w:val="en-US"/>
        </w:rPr>
        <w:t xml:space="preserve">is study </w:t>
      </w:r>
      <w:r w:rsidR="006156C9" w:rsidRPr="00004507">
        <w:rPr>
          <w:rFonts w:ascii="Arial" w:hAnsi="Arial" w:cs="Arial"/>
          <w:bCs/>
          <w:color w:val="000000" w:themeColor="text1"/>
          <w:sz w:val="22"/>
          <w:szCs w:val="22"/>
          <w:lang w:val="en-US"/>
        </w:rPr>
        <w:t>did n</w:t>
      </w:r>
      <w:r w:rsidR="006156C9" w:rsidRPr="00004507">
        <w:rPr>
          <w:rFonts w:ascii="Arial" w:hAnsi="Arial" w:cs="Arial"/>
          <w:color w:val="000000" w:themeColor="text1"/>
          <w:sz w:val="22"/>
          <w:szCs w:val="22"/>
          <w:lang w:val="en-US"/>
        </w:rPr>
        <w:t>ot identify</w:t>
      </w:r>
      <w:r w:rsidR="00A750B3" w:rsidRPr="00004507">
        <w:rPr>
          <w:rFonts w:ascii="Arial" w:hAnsi="Arial" w:cs="Arial"/>
          <w:color w:val="000000" w:themeColor="text1"/>
          <w:sz w:val="22"/>
          <w:szCs w:val="22"/>
          <w:lang w:val="en-US"/>
        </w:rPr>
        <w:t xml:space="preserve"> any statistically significant variation </w:t>
      </w:r>
      <w:r w:rsidR="006156C9" w:rsidRPr="00004507">
        <w:rPr>
          <w:rFonts w:ascii="Arial" w:hAnsi="Arial" w:cs="Arial"/>
          <w:color w:val="000000" w:themeColor="text1"/>
          <w:sz w:val="22"/>
          <w:szCs w:val="22"/>
          <w:lang w:val="en-US"/>
        </w:rPr>
        <w:t xml:space="preserve">in the </w:t>
      </w:r>
      <w:r w:rsidR="00A750B3" w:rsidRPr="00004507">
        <w:rPr>
          <w:rFonts w:ascii="Arial" w:hAnsi="Arial" w:cs="Arial"/>
          <w:color w:val="000000" w:themeColor="text1"/>
          <w:sz w:val="22"/>
          <w:szCs w:val="22"/>
          <w:lang w:val="en-US"/>
        </w:rPr>
        <w:t xml:space="preserve">PON1 phenotypes of </w:t>
      </w:r>
      <w:r w:rsidR="006156C9" w:rsidRPr="00004507">
        <w:rPr>
          <w:rFonts w:ascii="Arial" w:hAnsi="Arial" w:cs="Arial"/>
          <w:color w:val="000000" w:themeColor="text1"/>
          <w:sz w:val="22"/>
          <w:szCs w:val="22"/>
          <w:lang w:val="en-US"/>
        </w:rPr>
        <w:t xml:space="preserve">the </w:t>
      </w:r>
      <w:r w:rsidR="00A750B3" w:rsidRPr="00004507">
        <w:rPr>
          <w:rFonts w:ascii="Arial" w:hAnsi="Arial" w:cs="Arial"/>
          <w:color w:val="000000" w:themeColor="text1"/>
          <w:sz w:val="22"/>
          <w:szCs w:val="22"/>
          <w:lang w:val="en-US"/>
        </w:rPr>
        <w:t>PEG, NTG</w:t>
      </w:r>
      <w:r w:rsidR="006156C9" w:rsidRPr="00004507">
        <w:rPr>
          <w:rFonts w:ascii="Arial" w:hAnsi="Arial" w:cs="Arial"/>
          <w:color w:val="000000" w:themeColor="text1"/>
          <w:sz w:val="22"/>
          <w:szCs w:val="22"/>
          <w:lang w:val="en-US"/>
        </w:rPr>
        <w:t>,</w:t>
      </w:r>
      <w:r w:rsidR="00A750B3" w:rsidRPr="00004507">
        <w:rPr>
          <w:rFonts w:ascii="Arial" w:hAnsi="Arial" w:cs="Arial"/>
          <w:color w:val="000000" w:themeColor="text1"/>
          <w:sz w:val="22"/>
          <w:szCs w:val="22"/>
          <w:lang w:val="en-US"/>
        </w:rPr>
        <w:t xml:space="preserve"> and control groups</w:t>
      </w:r>
      <w:r w:rsidR="00A750B3" w:rsidRPr="00004507">
        <w:rPr>
          <w:rFonts w:ascii="Arial" w:hAnsi="Arial" w:cs="Arial"/>
          <w:bCs/>
          <w:color w:val="000000" w:themeColor="text1"/>
          <w:sz w:val="22"/>
          <w:szCs w:val="22"/>
          <w:lang w:val="en-US"/>
        </w:rPr>
        <w:t xml:space="preserve"> </w:t>
      </w:r>
      <w:r w:rsidR="007674E2" w:rsidRPr="00004507">
        <w:rPr>
          <w:rFonts w:ascii="Arial" w:hAnsi="Arial" w:cs="Arial"/>
          <w:bCs/>
          <w:color w:val="000000" w:themeColor="text1"/>
          <w:sz w:val="22"/>
          <w:szCs w:val="22"/>
          <w:lang w:val="en-US"/>
        </w:rPr>
        <w:t>[4</w:t>
      </w:r>
      <w:r w:rsidR="008C7FBA">
        <w:rPr>
          <w:rFonts w:ascii="Arial" w:hAnsi="Arial" w:cs="Arial"/>
          <w:bCs/>
          <w:color w:val="000000" w:themeColor="text1"/>
          <w:sz w:val="22"/>
          <w:szCs w:val="22"/>
          <w:lang w:val="en-US"/>
        </w:rPr>
        <w:t>8</w:t>
      </w:r>
      <w:r w:rsidR="000D2A47" w:rsidRPr="00004507">
        <w:rPr>
          <w:rFonts w:ascii="Arial" w:hAnsi="Arial" w:cs="Arial"/>
          <w:bCs/>
          <w:color w:val="000000" w:themeColor="text1"/>
          <w:sz w:val="22"/>
          <w:szCs w:val="22"/>
          <w:lang w:val="en-US"/>
        </w:rPr>
        <w:t>]</w:t>
      </w:r>
      <w:r w:rsidR="00A750B3" w:rsidRPr="00004507">
        <w:rPr>
          <w:rFonts w:ascii="Arial" w:hAnsi="Arial" w:cs="Arial"/>
          <w:bCs/>
          <w:color w:val="000000" w:themeColor="text1"/>
          <w:sz w:val="22"/>
          <w:szCs w:val="22"/>
          <w:lang w:val="en-US"/>
        </w:rPr>
        <w:t xml:space="preserve">. </w:t>
      </w:r>
    </w:p>
    <w:p w14:paraId="0CF3DD8A" w14:textId="0DC1D734" w:rsidR="00A750B3" w:rsidRPr="00004507" w:rsidRDefault="00A750B3" w:rsidP="00C15EA2">
      <w:pPr>
        <w:spacing w:after="0" w:line="276" w:lineRule="auto"/>
        <w:jc w:val="both"/>
        <w:rPr>
          <w:rFonts w:ascii="Arial" w:eastAsia="Times-Roman" w:hAnsi="Arial" w:cs="Arial"/>
          <w:color w:val="000000" w:themeColor="text1"/>
          <w:lang w:val="en-US"/>
        </w:rPr>
      </w:pPr>
      <w:r w:rsidRPr="00004507">
        <w:rPr>
          <w:rFonts w:ascii="Arial" w:hAnsi="Arial" w:cs="Arial"/>
          <w:color w:val="000000" w:themeColor="text1"/>
          <w:shd w:val="clear" w:color="auto" w:fill="FFFFFF"/>
          <w:lang w:val="en-US"/>
        </w:rPr>
        <w:t>There is considerable variation in the activity and expression level</w:t>
      </w:r>
      <w:r w:rsidR="006156C9" w:rsidRPr="00004507">
        <w:rPr>
          <w:rFonts w:ascii="Arial" w:hAnsi="Arial" w:cs="Arial"/>
          <w:color w:val="000000" w:themeColor="text1"/>
          <w:shd w:val="clear" w:color="auto" w:fill="FFFFFF"/>
          <w:lang w:val="en-US"/>
        </w:rPr>
        <w:t>s of PON1</w:t>
      </w:r>
      <w:r w:rsidRPr="00004507">
        <w:rPr>
          <w:rFonts w:ascii="Arial" w:hAnsi="Arial" w:cs="Arial"/>
          <w:color w:val="000000" w:themeColor="text1"/>
          <w:shd w:val="clear" w:color="auto" w:fill="FFFFFF"/>
          <w:lang w:val="en-US"/>
        </w:rPr>
        <w:t xml:space="preserve"> even in healthy populations </w:t>
      </w:r>
      <w:r w:rsidR="007674E2" w:rsidRPr="00004507">
        <w:rPr>
          <w:rFonts w:ascii="Arial" w:hAnsi="Arial" w:cs="Arial"/>
          <w:color w:val="000000" w:themeColor="text1"/>
          <w:shd w:val="clear" w:color="auto" w:fill="FFFFFF"/>
          <w:lang w:val="en-US"/>
        </w:rPr>
        <w:t>[</w:t>
      </w:r>
      <w:r w:rsidR="008C7FBA">
        <w:rPr>
          <w:rFonts w:ascii="Arial" w:hAnsi="Arial" w:cs="Arial"/>
          <w:color w:val="000000" w:themeColor="text1"/>
          <w:shd w:val="clear" w:color="auto" w:fill="FFFFFF"/>
          <w:lang w:val="en-US"/>
        </w:rPr>
        <w:t>50-53</w:t>
      </w:r>
      <w:r w:rsidR="000D2A47" w:rsidRPr="00004507">
        <w:rPr>
          <w:rFonts w:ascii="Arial" w:hAnsi="Arial" w:cs="Arial"/>
          <w:color w:val="000000" w:themeColor="text1"/>
          <w:shd w:val="clear" w:color="auto" w:fill="FFFFFF"/>
          <w:lang w:val="en-US"/>
        </w:rPr>
        <w:t>]</w:t>
      </w:r>
      <w:r w:rsidRPr="00004507">
        <w:rPr>
          <w:rFonts w:ascii="Arial" w:hAnsi="Arial" w:cs="Arial"/>
          <w:bCs/>
          <w:color w:val="000000" w:themeColor="text1"/>
          <w:lang w:val="en-US"/>
        </w:rPr>
        <w:t>,</w:t>
      </w:r>
      <w:r w:rsidRPr="00004507">
        <w:rPr>
          <w:rFonts w:ascii="Arial" w:hAnsi="Arial" w:cs="Arial"/>
          <w:color w:val="000000" w:themeColor="text1"/>
          <w:shd w:val="clear" w:color="auto" w:fill="FFFFFF"/>
          <w:lang w:val="en-US"/>
        </w:rPr>
        <w:t xml:space="preserve"> which is determined by the </w:t>
      </w:r>
      <w:r w:rsidRPr="00004507">
        <w:rPr>
          <w:rFonts w:ascii="Arial" w:hAnsi="Arial" w:cs="Arial"/>
          <w:color w:val="000000" w:themeColor="text1"/>
          <w:lang w:val="en-US"/>
        </w:rPr>
        <w:t>coding region (</w:t>
      </w:r>
      <w:r w:rsidRPr="00004507">
        <w:rPr>
          <w:rFonts w:ascii="Arial" w:hAnsi="Arial" w:cs="Arial"/>
          <w:i/>
          <w:color w:val="000000" w:themeColor="text1"/>
          <w:lang w:val="en-US"/>
        </w:rPr>
        <w:t>192Q/R</w:t>
      </w:r>
      <w:r w:rsidRPr="00004507">
        <w:rPr>
          <w:rFonts w:ascii="Arial" w:hAnsi="Arial" w:cs="Arial"/>
          <w:color w:val="000000" w:themeColor="text1"/>
          <w:lang w:val="en-US"/>
        </w:rPr>
        <w:t xml:space="preserve">, </w:t>
      </w:r>
      <w:r w:rsidRPr="00004507">
        <w:rPr>
          <w:rFonts w:ascii="Arial" w:hAnsi="Arial" w:cs="Arial"/>
          <w:i/>
          <w:color w:val="000000" w:themeColor="text1"/>
          <w:lang w:val="en-US"/>
        </w:rPr>
        <w:t>55L/M</w:t>
      </w:r>
      <w:r w:rsidRPr="00004507">
        <w:rPr>
          <w:rFonts w:ascii="Arial" w:hAnsi="Arial" w:cs="Arial"/>
          <w:color w:val="000000" w:themeColor="text1"/>
          <w:lang w:val="en-US"/>
        </w:rPr>
        <w:t>) and the promoter region (</w:t>
      </w:r>
      <w:r w:rsidR="00054321" w:rsidRPr="00004507">
        <w:rPr>
          <w:rFonts w:ascii="Arial" w:hAnsi="Arial" w:cs="Arial"/>
          <w:i/>
          <w:color w:val="000000" w:themeColor="text1"/>
          <w:lang w:val="en-US"/>
        </w:rPr>
        <w:t>−</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w:t>
      </w:r>
      <w:r w:rsidR="004857C5">
        <w:rPr>
          <w:rFonts w:ascii="Arial" w:hAnsi="Arial" w:cs="Arial"/>
          <w:color w:val="000000" w:themeColor="text1"/>
          <w:lang w:val="en-US"/>
        </w:rPr>
        <w:t>variation</w:t>
      </w:r>
      <w:r w:rsidRPr="00004507">
        <w:rPr>
          <w:rFonts w:ascii="Arial" w:hAnsi="Arial" w:cs="Arial"/>
          <w:color w:val="000000" w:themeColor="text1"/>
          <w:lang w:val="en-US"/>
        </w:rPr>
        <w:t xml:space="preserve">s of the </w:t>
      </w:r>
      <w:r w:rsidRPr="00004507">
        <w:rPr>
          <w:rFonts w:ascii="Arial" w:hAnsi="Arial" w:cs="Arial"/>
          <w:i/>
          <w:color w:val="000000" w:themeColor="text1"/>
          <w:lang w:val="en-US"/>
        </w:rPr>
        <w:t>PON1</w:t>
      </w:r>
      <w:r w:rsidRPr="00004507">
        <w:rPr>
          <w:rFonts w:ascii="Arial" w:hAnsi="Arial" w:cs="Arial"/>
          <w:color w:val="000000" w:themeColor="text1"/>
          <w:lang w:val="en-US"/>
        </w:rPr>
        <w:t xml:space="preserve"> gene</w:t>
      </w:r>
      <w:r w:rsidR="000A479F" w:rsidRPr="00004507">
        <w:rPr>
          <w:rFonts w:ascii="Arial" w:hAnsi="Arial" w:cs="Arial"/>
          <w:color w:val="000000" w:themeColor="text1"/>
          <w:lang w:val="en-US"/>
        </w:rPr>
        <w:t xml:space="preserve"> as well as</w:t>
      </w:r>
      <w:r w:rsidR="000A479F" w:rsidRPr="00004507">
        <w:rPr>
          <w:rFonts w:ascii="Arial" w:hAnsi="Arial" w:cs="Arial"/>
          <w:color w:val="000000" w:themeColor="text1"/>
          <w:shd w:val="clear" w:color="auto" w:fill="FFFFFF"/>
          <w:lang w:val="en-US"/>
        </w:rPr>
        <w:t xml:space="preserve"> life-</w:t>
      </w:r>
      <w:r w:rsidRPr="00004507">
        <w:rPr>
          <w:rFonts w:ascii="Arial" w:hAnsi="Arial" w:cs="Arial"/>
          <w:color w:val="000000" w:themeColor="text1"/>
          <w:shd w:val="clear" w:color="auto" w:fill="FFFFFF"/>
          <w:lang w:val="en-US"/>
        </w:rPr>
        <w:t xml:space="preserve">style and dietary factors </w:t>
      </w:r>
      <w:r w:rsidR="008C7FBA">
        <w:rPr>
          <w:rFonts w:ascii="Arial" w:hAnsi="Arial" w:cs="Arial"/>
          <w:color w:val="000000" w:themeColor="text1"/>
          <w:shd w:val="clear" w:color="auto" w:fill="FFFFFF"/>
          <w:lang w:val="en-US"/>
        </w:rPr>
        <w:t xml:space="preserve">[23-28, </w:t>
      </w:r>
      <w:r w:rsidR="007674E2" w:rsidRPr="00004507">
        <w:rPr>
          <w:rFonts w:ascii="Arial" w:hAnsi="Arial" w:cs="Arial"/>
          <w:color w:val="000000" w:themeColor="text1"/>
          <w:shd w:val="clear" w:color="auto" w:fill="FFFFFF"/>
          <w:lang w:val="en-US"/>
        </w:rPr>
        <w:t>5</w:t>
      </w:r>
      <w:r w:rsidR="008C7FBA">
        <w:rPr>
          <w:rFonts w:ascii="Arial" w:hAnsi="Arial" w:cs="Arial"/>
          <w:color w:val="000000" w:themeColor="text1"/>
          <w:shd w:val="clear" w:color="auto" w:fill="FFFFFF"/>
          <w:lang w:val="en-US"/>
        </w:rPr>
        <w:t>4</w:t>
      </w:r>
      <w:r w:rsidR="000D2A47"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Nevertheless, the largest effect on PON1 activity levels, which can vary </w:t>
      </w:r>
      <w:r w:rsidR="000A479F" w:rsidRPr="00004507">
        <w:rPr>
          <w:rFonts w:ascii="Arial" w:hAnsi="Arial" w:cs="Arial"/>
          <w:color w:val="000000" w:themeColor="text1"/>
          <w:shd w:val="clear" w:color="auto" w:fill="FFFFFF"/>
          <w:lang w:val="en-US"/>
        </w:rPr>
        <w:t>by over 40-</w:t>
      </w:r>
      <w:r w:rsidRPr="00004507">
        <w:rPr>
          <w:rFonts w:ascii="Arial" w:hAnsi="Arial" w:cs="Arial"/>
          <w:color w:val="000000" w:themeColor="text1"/>
          <w:shd w:val="clear" w:color="auto" w:fill="FFFFFF"/>
          <w:lang w:val="en-US"/>
        </w:rPr>
        <w:t>fold between individuals,</w:t>
      </w:r>
      <w:r w:rsidR="000A479F" w:rsidRPr="00004507">
        <w:rPr>
          <w:rFonts w:ascii="Arial" w:hAnsi="Arial" w:cs="Arial"/>
          <w:color w:val="000000" w:themeColor="text1"/>
          <w:shd w:val="clear" w:color="auto" w:fill="FFFFFF"/>
          <w:lang w:val="en-US"/>
        </w:rPr>
        <w:t xml:space="preserve"> comes from </w:t>
      </w:r>
      <w:r w:rsidRPr="00004507">
        <w:rPr>
          <w:rFonts w:ascii="Arial" w:hAnsi="Arial" w:cs="Arial"/>
          <w:i/>
          <w:color w:val="000000" w:themeColor="text1"/>
          <w:shd w:val="clear" w:color="auto" w:fill="FFFFFF"/>
          <w:lang w:val="en-US"/>
        </w:rPr>
        <w:t>PON1</w:t>
      </w:r>
      <w:r w:rsidRPr="00004507">
        <w:rPr>
          <w:rFonts w:ascii="Arial" w:hAnsi="Arial" w:cs="Arial"/>
          <w:color w:val="000000" w:themeColor="text1"/>
          <w:shd w:val="clear" w:color="auto" w:fill="FFFFFF"/>
          <w:lang w:val="en-US"/>
        </w:rPr>
        <w:t xml:space="preserve"> genetic </w:t>
      </w:r>
      <w:r w:rsidR="004857C5">
        <w:rPr>
          <w:rFonts w:ascii="Arial" w:hAnsi="Arial" w:cs="Arial"/>
          <w:color w:val="000000" w:themeColor="text1"/>
          <w:shd w:val="clear" w:color="auto" w:fill="FFFFFF"/>
          <w:lang w:val="en-US"/>
        </w:rPr>
        <w:t>variation</w:t>
      </w:r>
      <w:r w:rsidRPr="00004507">
        <w:rPr>
          <w:rFonts w:ascii="Arial" w:hAnsi="Arial" w:cs="Arial"/>
          <w:color w:val="000000" w:themeColor="text1"/>
          <w:shd w:val="clear" w:color="auto" w:fill="FFFFFF"/>
          <w:lang w:val="en-US"/>
        </w:rPr>
        <w:t xml:space="preserve">s </w:t>
      </w:r>
      <w:r w:rsidR="000D2A47" w:rsidRPr="00004507">
        <w:rPr>
          <w:rFonts w:ascii="Arial" w:hAnsi="Arial" w:cs="Arial"/>
          <w:color w:val="000000" w:themeColor="text1"/>
          <w:shd w:val="clear" w:color="auto" w:fill="FFFFFF"/>
          <w:lang w:val="en-US"/>
        </w:rPr>
        <w:t>[28]</w:t>
      </w:r>
      <w:r w:rsidRPr="00004507">
        <w:rPr>
          <w:rFonts w:ascii="Arial" w:hAnsi="Arial" w:cs="Arial"/>
          <w:color w:val="000000" w:themeColor="text1"/>
          <w:shd w:val="clear" w:color="auto" w:fill="FFFFFF"/>
          <w:lang w:val="en-US"/>
        </w:rPr>
        <w:t xml:space="preserve">. </w:t>
      </w:r>
      <w:r w:rsidRPr="00004507">
        <w:rPr>
          <w:rFonts w:ascii="Arial" w:hAnsi="Arial" w:cs="Arial"/>
          <w:color w:val="000000" w:themeColor="text1"/>
          <w:lang w:val="en-US"/>
        </w:rPr>
        <w:t>Therefore, in the present study we investigated the possible association between three importan</w:t>
      </w:r>
      <w:r w:rsidR="00054321" w:rsidRPr="00004507">
        <w:rPr>
          <w:rFonts w:ascii="Arial" w:hAnsi="Arial" w:cs="Arial"/>
          <w:color w:val="000000" w:themeColor="text1"/>
          <w:lang w:val="en-US"/>
        </w:rPr>
        <w:t xml:space="preserve">t </w:t>
      </w:r>
      <w:r w:rsidR="00054321" w:rsidRPr="00004507">
        <w:rPr>
          <w:rFonts w:ascii="Arial" w:hAnsi="Arial" w:cs="Arial"/>
          <w:i/>
          <w:color w:val="000000" w:themeColor="text1"/>
          <w:lang w:val="en-US"/>
        </w:rPr>
        <w:t>PON1</w:t>
      </w:r>
      <w:r w:rsidR="00054321" w:rsidRPr="00004507">
        <w:rPr>
          <w:rFonts w:ascii="Arial" w:hAnsi="Arial" w:cs="Arial"/>
          <w:color w:val="000000" w:themeColor="text1"/>
          <w:lang w:val="en-US"/>
        </w:rPr>
        <w:t xml:space="preserve"> </w:t>
      </w:r>
      <w:r w:rsidR="00077403">
        <w:rPr>
          <w:rFonts w:ascii="Arial" w:hAnsi="Arial" w:cs="Arial"/>
          <w:color w:val="000000" w:themeColor="text1"/>
          <w:lang w:val="en-US"/>
        </w:rPr>
        <w:t xml:space="preserve">variants </w:t>
      </w:r>
      <w:r w:rsidR="00054321" w:rsidRPr="00004507">
        <w:rPr>
          <w:rFonts w:ascii="Arial" w:hAnsi="Arial" w:cs="Arial"/>
          <w:color w:val="000000" w:themeColor="text1"/>
          <w:lang w:val="en-US"/>
        </w:rPr>
        <w:t>(</w:t>
      </w:r>
      <w:r w:rsidR="00054321" w:rsidRPr="00004507">
        <w:rPr>
          <w:rFonts w:ascii="Arial" w:hAnsi="Arial" w:cs="Arial"/>
          <w:i/>
          <w:color w:val="000000" w:themeColor="text1"/>
          <w:lang w:val="en-US"/>
        </w:rPr>
        <w:t>192Q/R</w:t>
      </w:r>
      <w:r w:rsidR="00054321" w:rsidRPr="00004507">
        <w:rPr>
          <w:rFonts w:ascii="Arial" w:hAnsi="Arial" w:cs="Arial"/>
          <w:color w:val="000000" w:themeColor="text1"/>
          <w:lang w:val="en-US"/>
        </w:rPr>
        <w:t xml:space="preserve">, </w:t>
      </w:r>
      <w:r w:rsidR="00054321" w:rsidRPr="00004507">
        <w:rPr>
          <w:rFonts w:ascii="Arial" w:hAnsi="Arial" w:cs="Arial"/>
          <w:i/>
          <w:color w:val="000000" w:themeColor="text1"/>
          <w:lang w:val="en-US"/>
        </w:rPr>
        <w:t>55L/M</w:t>
      </w:r>
      <w:r w:rsidR="00054321" w:rsidRPr="00004507">
        <w:rPr>
          <w:rFonts w:ascii="Arial" w:hAnsi="Arial" w:cs="Arial"/>
          <w:color w:val="000000" w:themeColor="text1"/>
          <w:lang w:val="en-US"/>
        </w:rPr>
        <w:t xml:space="preserve"> and </w:t>
      </w:r>
      <w:r w:rsidR="00054321" w:rsidRPr="00004507">
        <w:rPr>
          <w:rFonts w:ascii="Arial" w:hAnsi="Arial" w:cs="Arial"/>
          <w:i/>
          <w:color w:val="000000" w:themeColor="text1"/>
          <w:lang w:val="en-US"/>
        </w:rPr>
        <w:t>−</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and PEX/PEG risk. The results did not indicate a </w:t>
      </w:r>
      <w:r w:rsidR="00AE2C91" w:rsidRPr="00004507">
        <w:rPr>
          <w:rFonts w:ascii="Arial" w:hAnsi="Arial" w:cs="Arial"/>
          <w:color w:val="000000" w:themeColor="text1"/>
          <w:lang w:val="en-US"/>
        </w:rPr>
        <w:t xml:space="preserve">significant </w:t>
      </w:r>
      <w:r w:rsidRPr="00004507">
        <w:rPr>
          <w:rFonts w:ascii="Arial" w:hAnsi="Arial" w:cs="Arial"/>
          <w:color w:val="000000" w:themeColor="text1"/>
          <w:lang w:val="en-US"/>
        </w:rPr>
        <w:t xml:space="preserve">role </w:t>
      </w:r>
      <w:r w:rsidR="00AE2C91" w:rsidRPr="00004507">
        <w:rPr>
          <w:rFonts w:ascii="Arial" w:hAnsi="Arial" w:cs="Arial"/>
          <w:color w:val="000000" w:themeColor="text1"/>
          <w:lang w:val="en-US"/>
        </w:rPr>
        <w:t xml:space="preserve">of the </w:t>
      </w:r>
      <w:r w:rsidRPr="00004507">
        <w:rPr>
          <w:rFonts w:ascii="Arial" w:hAnsi="Arial" w:cs="Arial"/>
          <w:color w:val="000000" w:themeColor="text1"/>
          <w:lang w:val="en-US"/>
        </w:rPr>
        <w:t xml:space="preserve">minor alleles of these </w:t>
      </w:r>
      <w:proofErr w:type="spellStart"/>
      <w:r w:rsidR="00077403">
        <w:rPr>
          <w:rFonts w:ascii="Arial" w:hAnsi="Arial" w:cs="Arial"/>
          <w:color w:val="000000" w:themeColor="text1"/>
          <w:lang w:val="en-US"/>
        </w:rPr>
        <w:t>varaints</w:t>
      </w:r>
      <w:proofErr w:type="spellEnd"/>
      <w:r w:rsidRPr="00004507">
        <w:rPr>
          <w:rFonts w:ascii="Arial" w:hAnsi="Arial" w:cs="Arial"/>
          <w:color w:val="000000" w:themeColor="text1"/>
          <w:lang w:val="en-US"/>
        </w:rPr>
        <w:t xml:space="preserve"> alone in PEX/PEG</w:t>
      </w:r>
      <w:r w:rsidR="00054321" w:rsidRPr="00004507">
        <w:rPr>
          <w:rFonts w:ascii="Arial" w:hAnsi="Arial" w:cs="Arial"/>
          <w:color w:val="000000" w:themeColor="text1"/>
          <w:lang w:val="en-US"/>
        </w:rPr>
        <w:t>. However,</w:t>
      </w:r>
      <w:r w:rsidR="00AE2C91" w:rsidRPr="00004507">
        <w:rPr>
          <w:rFonts w:ascii="Arial" w:hAnsi="Arial" w:cs="Arial"/>
          <w:color w:val="000000" w:themeColor="text1"/>
          <w:lang w:val="en-US"/>
        </w:rPr>
        <w:t xml:space="preserve"> the</w:t>
      </w:r>
      <w:r w:rsidR="00054321" w:rsidRPr="00004507">
        <w:rPr>
          <w:rFonts w:ascii="Arial" w:hAnsi="Arial" w:cs="Arial"/>
          <w:color w:val="000000" w:themeColor="text1"/>
          <w:lang w:val="en-US"/>
        </w:rPr>
        <w:t xml:space="preserve"> </w:t>
      </w:r>
      <w:r w:rsidR="00054321" w:rsidRPr="00004507">
        <w:rPr>
          <w:rFonts w:ascii="Arial" w:hAnsi="Arial" w:cs="Arial"/>
          <w:i/>
          <w:color w:val="000000" w:themeColor="text1"/>
          <w:lang w:val="en-US"/>
        </w:rPr>
        <w:t>55L/M</w:t>
      </w:r>
      <w:r w:rsidR="00054321" w:rsidRPr="00004507">
        <w:rPr>
          <w:rFonts w:ascii="Arial" w:hAnsi="Arial" w:cs="Arial"/>
          <w:color w:val="000000" w:themeColor="text1"/>
          <w:lang w:val="en-US"/>
        </w:rPr>
        <w:t xml:space="preserve"> and </w:t>
      </w:r>
      <w:r w:rsidR="00054321" w:rsidRPr="00004507">
        <w:rPr>
          <w:rFonts w:ascii="Arial" w:hAnsi="Arial" w:cs="Arial"/>
          <w:i/>
          <w:color w:val="000000" w:themeColor="text1"/>
          <w:lang w:val="en-US"/>
        </w:rPr>
        <w:t>−</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genotype distributions and some triple combined haplotypes were significantly related with PEX/PEG status. Logistic regression analysis revealed that h</w:t>
      </w:r>
      <w:r w:rsidR="00280E76" w:rsidRPr="00004507">
        <w:rPr>
          <w:rFonts w:ascii="Arial" w:hAnsi="Arial" w:cs="Arial"/>
          <w:color w:val="000000" w:themeColor="text1"/>
          <w:lang w:val="en-US"/>
        </w:rPr>
        <w:t xml:space="preserve">aving at least one </w:t>
      </w:r>
      <w:r w:rsidR="00280E76" w:rsidRPr="00004507">
        <w:rPr>
          <w:rFonts w:ascii="Arial" w:hAnsi="Arial" w:cs="Arial"/>
          <w:i/>
          <w:color w:val="000000" w:themeColor="text1"/>
          <w:lang w:val="en-US"/>
        </w:rPr>
        <w:t>C</w:t>
      </w:r>
      <w:r w:rsidR="00280E76" w:rsidRPr="00004507">
        <w:rPr>
          <w:rFonts w:ascii="Arial" w:hAnsi="Arial" w:cs="Arial"/>
          <w:color w:val="000000" w:themeColor="text1"/>
          <w:lang w:val="en-US"/>
        </w:rPr>
        <w:t xml:space="preserve"> allele in</w:t>
      </w:r>
      <w:r w:rsidR="00AE2C91" w:rsidRPr="00004507">
        <w:rPr>
          <w:rFonts w:ascii="Arial" w:hAnsi="Arial" w:cs="Arial"/>
          <w:color w:val="000000" w:themeColor="text1"/>
          <w:lang w:val="en-US"/>
        </w:rPr>
        <w:t xml:space="preserve"> the</w:t>
      </w:r>
      <w:r w:rsidR="00280E76" w:rsidRPr="00004507">
        <w:rPr>
          <w:rFonts w:ascii="Arial" w:hAnsi="Arial" w:cs="Arial"/>
          <w:color w:val="000000" w:themeColor="text1"/>
          <w:lang w:val="en-US"/>
        </w:rPr>
        <w:t xml:space="preserve"> </w:t>
      </w:r>
      <w:r w:rsidR="00280E76" w:rsidRPr="00004507">
        <w:rPr>
          <w:rFonts w:ascii="Arial" w:hAnsi="Arial" w:cs="Arial"/>
          <w:i/>
          <w:color w:val="000000" w:themeColor="text1"/>
          <w:lang w:val="en-US"/>
        </w:rPr>
        <w:t>−</w:t>
      </w:r>
      <w:r w:rsidRPr="00004507">
        <w:rPr>
          <w:rFonts w:ascii="Arial" w:hAnsi="Arial" w:cs="Arial"/>
          <w:i/>
          <w:color w:val="000000" w:themeColor="text1"/>
          <w:lang w:val="en-US"/>
        </w:rPr>
        <w:t>107</w:t>
      </w:r>
      <w:r w:rsidRPr="00004507">
        <w:rPr>
          <w:rFonts w:ascii="Arial" w:hAnsi="Arial" w:cs="Arial"/>
          <w:color w:val="000000" w:themeColor="text1"/>
          <w:lang w:val="en-US"/>
        </w:rPr>
        <w:t xml:space="preserve"> position of the </w:t>
      </w:r>
      <w:r w:rsidRPr="00004507">
        <w:rPr>
          <w:rFonts w:ascii="Arial" w:hAnsi="Arial" w:cs="Arial"/>
          <w:i/>
          <w:color w:val="000000" w:themeColor="text1"/>
          <w:lang w:val="en-US"/>
        </w:rPr>
        <w:t xml:space="preserve">PON1 </w:t>
      </w:r>
      <w:r w:rsidRPr="00004507">
        <w:rPr>
          <w:rFonts w:ascii="Arial" w:hAnsi="Arial" w:cs="Arial"/>
          <w:color w:val="000000" w:themeColor="text1"/>
          <w:lang w:val="en-US"/>
        </w:rPr>
        <w:t xml:space="preserve">gene is significantly associated with PEX. </w:t>
      </w:r>
      <w:r w:rsidR="00AE2C91" w:rsidRPr="00004507">
        <w:rPr>
          <w:rFonts w:ascii="Arial" w:hAnsi="Arial" w:cs="Arial"/>
          <w:color w:val="000000" w:themeColor="text1"/>
          <w:lang w:val="en-US"/>
        </w:rPr>
        <w:t xml:space="preserve">A </w:t>
      </w:r>
      <w:r w:rsidRPr="00004507">
        <w:rPr>
          <w:rFonts w:ascii="Arial" w:eastAsia="Times-Roman" w:hAnsi="Arial" w:cs="Arial"/>
          <w:i/>
          <w:color w:val="000000" w:themeColor="text1"/>
          <w:lang w:val="en-US"/>
        </w:rPr>
        <w:t>T</w:t>
      </w:r>
      <w:r w:rsidRPr="00004507">
        <w:rPr>
          <w:rFonts w:ascii="Arial" w:eastAsia="Times-Roman" w:hAnsi="Arial" w:cs="Arial"/>
          <w:color w:val="000000" w:themeColor="text1"/>
          <w:lang w:val="en-US"/>
        </w:rPr>
        <w:t xml:space="preserve"> allele at position </w:t>
      </w:r>
      <w:r w:rsidRPr="00004507">
        <w:rPr>
          <w:rFonts w:ascii="Arial" w:eastAsia="Times-Roman" w:hAnsi="Arial" w:cs="Arial"/>
          <w:i/>
          <w:color w:val="000000" w:themeColor="text1"/>
          <w:lang w:val="en-US"/>
        </w:rPr>
        <w:t>–107</w:t>
      </w:r>
      <w:r w:rsidRPr="00004507">
        <w:rPr>
          <w:rFonts w:ascii="Arial" w:eastAsia="Times-Roman" w:hAnsi="Arial" w:cs="Arial"/>
          <w:color w:val="000000" w:themeColor="text1"/>
          <w:lang w:val="en-US"/>
        </w:rPr>
        <w:t xml:space="preserve"> disrupts the recognition sequence for stimulating protein-1</w:t>
      </w:r>
      <w:r w:rsidR="00AE2C91" w:rsidRPr="00004507">
        <w:rPr>
          <w:rFonts w:ascii="Arial" w:eastAsia="Times-Roman" w:hAnsi="Arial" w:cs="Arial"/>
          <w:color w:val="000000" w:themeColor="text1"/>
          <w:lang w:val="en-US"/>
        </w:rPr>
        <w:t>,</w:t>
      </w:r>
      <w:r w:rsidRPr="00004507">
        <w:rPr>
          <w:rFonts w:ascii="Arial" w:eastAsia="Times-Roman" w:hAnsi="Arial" w:cs="Arial"/>
          <w:color w:val="000000" w:themeColor="text1"/>
          <w:lang w:val="en-US"/>
        </w:rPr>
        <w:t xml:space="preserve"> and </w:t>
      </w:r>
      <w:r w:rsidRPr="00004507">
        <w:rPr>
          <w:rFonts w:ascii="Arial" w:eastAsia="Times-Roman" w:hAnsi="Arial" w:cs="Arial"/>
          <w:i/>
          <w:color w:val="000000" w:themeColor="text1"/>
          <w:lang w:val="en-US"/>
        </w:rPr>
        <w:t>–107TT</w:t>
      </w:r>
      <w:r w:rsidRPr="00004507">
        <w:rPr>
          <w:rFonts w:ascii="Arial" w:eastAsia="Times-Roman" w:hAnsi="Arial" w:cs="Arial"/>
          <w:color w:val="000000" w:themeColor="text1"/>
          <w:lang w:val="en-US"/>
        </w:rPr>
        <w:t xml:space="preserve"> genotype is associated with the lowest serum PON1 levels </w:t>
      </w:r>
      <w:r w:rsidR="001D569C" w:rsidRPr="00004507">
        <w:rPr>
          <w:rFonts w:ascii="Arial" w:eastAsia="Times-Roman" w:hAnsi="Arial" w:cs="Arial"/>
          <w:color w:val="000000" w:themeColor="text1"/>
          <w:lang w:val="en-US"/>
        </w:rPr>
        <w:t>[22]</w:t>
      </w:r>
      <w:r w:rsidR="00054321" w:rsidRPr="00004507">
        <w:rPr>
          <w:rFonts w:ascii="Arial" w:eastAsia="Times-Roman" w:hAnsi="Arial" w:cs="Arial"/>
          <w:color w:val="000000" w:themeColor="text1"/>
          <w:lang w:val="en-US"/>
        </w:rPr>
        <w:t xml:space="preserve">. The high </w:t>
      </w:r>
      <w:proofErr w:type="spellStart"/>
      <w:r w:rsidR="00054321" w:rsidRPr="00004507">
        <w:rPr>
          <w:rFonts w:ascii="Arial" w:eastAsia="Times-Roman" w:hAnsi="Arial" w:cs="Arial"/>
          <w:color w:val="000000" w:themeColor="text1"/>
          <w:lang w:val="en-US"/>
        </w:rPr>
        <w:t>expressor</w:t>
      </w:r>
      <w:proofErr w:type="spellEnd"/>
      <w:r w:rsidR="00054321" w:rsidRPr="00004507">
        <w:rPr>
          <w:rFonts w:ascii="Arial" w:eastAsia="Times-Roman" w:hAnsi="Arial" w:cs="Arial"/>
          <w:color w:val="000000" w:themeColor="text1"/>
          <w:lang w:val="en-US"/>
        </w:rPr>
        <w:t xml:space="preserve"> </w:t>
      </w:r>
      <w:r w:rsidR="00054321" w:rsidRPr="00004507">
        <w:rPr>
          <w:rFonts w:ascii="Arial" w:hAnsi="Arial" w:cs="Arial"/>
          <w:i/>
          <w:color w:val="000000" w:themeColor="text1"/>
          <w:lang w:val="en-US"/>
        </w:rPr>
        <w:t>−</w:t>
      </w:r>
      <w:r w:rsidRPr="00004507">
        <w:rPr>
          <w:rFonts w:ascii="Arial" w:eastAsia="Times-Roman" w:hAnsi="Arial" w:cs="Arial"/>
          <w:i/>
          <w:color w:val="000000" w:themeColor="text1"/>
          <w:lang w:val="en-US"/>
        </w:rPr>
        <w:t>107C</w:t>
      </w:r>
      <w:r w:rsidRPr="00004507">
        <w:rPr>
          <w:rFonts w:ascii="Arial" w:eastAsia="Times-Roman" w:hAnsi="Arial" w:cs="Arial"/>
          <w:color w:val="000000" w:themeColor="text1"/>
          <w:lang w:val="en-US"/>
        </w:rPr>
        <w:t xml:space="preserve"> allele and </w:t>
      </w:r>
      <w:r w:rsidRPr="00004507">
        <w:rPr>
          <w:rFonts w:ascii="Arial" w:eastAsia="Times-Roman" w:hAnsi="Arial" w:cs="Arial"/>
          <w:i/>
          <w:color w:val="000000" w:themeColor="text1"/>
          <w:lang w:val="en-US"/>
        </w:rPr>
        <w:t>55L</w:t>
      </w:r>
      <w:r w:rsidRPr="00004507">
        <w:rPr>
          <w:rFonts w:ascii="Arial" w:eastAsia="Times-Roman" w:hAnsi="Arial" w:cs="Arial"/>
          <w:color w:val="000000" w:themeColor="text1"/>
          <w:lang w:val="en-US"/>
        </w:rPr>
        <w:t xml:space="preserve"> alleles of the </w:t>
      </w:r>
      <w:r w:rsidRPr="00004507">
        <w:rPr>
          <w:rFonts w:ascii="Arial" w:eastAsia="Times-Roman" w:hAnsi="Arial" w:cs="Arial"/>
          <w:i/>
          <w:color w:val="000000" w:themeColor="text1"/>
          <w:lang w:val="en-US"/>
        </w:rPr>
        <w:t>PON1</w:t>
      </w:r>
      <w:r w:rsidRPr="00004507">
        <w:rPr>
          <w:rFonts w:ascii="Arial" w:eastAsia="Times-Roman" w:hAnsi="Arial" w:cs="Arial"/>
          <w:color w:val="000000" w:themeColor="text1"/>
          <w:lang w:val="en-US"/>
        </w:rPr>
        <w:t xml:space="preserve"> gene are in strong linkage disequilibrium </w:t>
      </w:r>
      <w:r w:rsidR="007674E2" w:rsidRPr="00004507">
        <w:rPr>
          <w:rFonts w:ascii="Arial" w:eastAsia="Times-Roman" w:hAnsi="Arial" w:cs="Arial"/>
          <w:color w:val="000000" w:themeColor="text1"/>
          <w:lang w:val="en-US"/>
        </w:rPr>
        <w:t>[</w:t>
      </w:r>
      <w:proofErr w:type="gramStart"/>
      <w:r w:rsidR="007674E2" w:rsidRPr="00004507">
        <w:rPr>
          <w:rFonts w:ascii="Arial" w:eastAsia="Times-Roman" w:hAnsi="Arial" w:cs="Arial"/>
          <w:color w:val="000000" w:themeColor="text1"/>
          <w:lang w:val="en-US"/>
        </w:rPr>
        <w:t>5</w:t>
      </w:r>
      <w:r w:rsidR="008C7FBA">
        <w:rPr>
          <w:rFonts w:ascii="Arial" w:eastAsia="Times-Roman" w:hAnsi="Arial" w:cs="Arial"/>
          <w:color w:val="000000" w:themeColor="text1"/>
          <w:lang w:val="en-US"/>
        </w:rPr>
        <w:t>5</w:t>
      </w:r>
      <w:r w:rsidR="00EE5EA5" w:rsidRPr="00004507">
        <w:rPr>
          <w:rFonts w:ascii="Arial" w:eastAsia="Times-Roman" w:hAnsi="Arial" w:cs="Arial"/>
          <w:color w:val="000000" w:themeColor="text1"/>
          <w:lang w:val="en-US"/>
        </w:rPr>
        <w:t>]</w:t>
      </w:r>
      <w:r w:rsidR="00362B6D" w:rsidRPr="00004507">
        <w:rPr>
          <w:rFonts w:ascii="Arial" w:eastAsia="Times-Roman" w:hAnsi="Arial" w:cs="Arial"/>
          <w:color w:val="000000" w:themeColor="text1"/>
          <w:lang w:val="en-US"/>
        </w:rPr>
        <w:t>,</w:t>
      </w:r>
      <w:proofErr w:type="gramEnd"/>
      <w:r w:rsidRPr="00004507">
        <w:rPr>
          <w:rFonts w:ascii="Arial" w:eastAsia="Times-Roman" w:hAnsi="Arial" w:cs="Arial"/>
          <w:color w:val="000000" w:themeColor="text1"/>
          <w:lang w:val="en-US"/>
        </w:rPr>
        <w:t xml:space="preserve"> and PON1 enzyme </w:t>
      </w:r>
      <w:r w:rsidR="00362B6D" w:rsidRPr="00004507">
        <w:rPr>
          <w:rFonts w:ascii="Arial" w:eastAsia="Times-Roman" w:hAnsi="Arial" w:cs="Arial"/>
          <w:color w:val="000000" w:themeColor="text1"/>
          <w:lang w:val="en-US"/>
        </w:rPr>
        <w:t>with</w:t>
      </w:r>
      <w:r w:rsidRPr="00004507">
        <w:rPr>
          <w:rFonts w:ascii="Arial" w:eastAsia="Times-Roman" w:hAnsi="Arial" w:cs="Arial"/>
          <w:color w:val="000000" w:themeColor="text1"/>
          <w:lang w:val="en-US"/>
        </w:rPr>
        <w:t xml:space="preserve"> </w:t>
      </w:r>
      <w:proofErr w:type="spellStart"/>
      <w:r w:rsidRPr="00004507">
        <w:rPr>
          <w:rFonts w:ascii="Arial" w:eastAsia="Times-Roman" w:hAnsi="Arial" w:cs="Arial"/>
          <w:color w:val="000000" w:themeColor="text1"/>
          <w:lang w:val="en-US"/>
        </w:rPr>
        <w:t>leucine</w:t>
      </w:r>
      <w:proofErr w:type="spellEnd"/>
      <w:r w:rsidRPr="00004507">
        <w:rPr>
          <w:rFonts w:ascii="Arial" w:eastAsia="Times-Roman" w:hAnsi="Arial" w:cs="Arial"/>
          <w:color w:val="000000" w:themeColor="text1"/>
          <w:lang w:val="en-US"/>
        </w:rPr>
        <w:t xml:space="preserve"> as the 55</w:t>
      </w:r>
      <w:r w:rsidRPr="00004507">
        <w:rPr>
          <w:rFonts w:ascii="Arial" w:eastAsia="Times-Roman" w:hAnsi="Arial" w:cs="Arial"/>
          <w:color w:val="000000" w:themeColor="text1"/>
          <w:vertAlign w:val="superscript"/>
          <w:lang w:val="en-US"/>
        </w:rPr>
        <w:t>th</w:t>
      </w:r>
      <w:r w:rsidRPr="00004507">
        <w:rPr>
          <w:rFonts w:ascii="Arial" w:eastAsia="Times-Roman" w:hAnsi="Arial" w:cs="Arial"/>
          <w:color w:val="000000" w:themeColor="text1"/>
          <w:lang w:val="en-US"/>
        </w:rPr>
        <w:t xml:space="preserve"> amino acid (the </w:t>
      </w:r>
      <w:r w:rsidRPr="00004507">
        <w:rPr>
          <w:rFonts w:ascii="Arial" w:eastAsia="Times-Roman" w:hAnsi="Arial" w:cs="Arial"/>
          <w:i/>
          <w:color w:val="000000" w:themeColor="text1"/>
          <w:lang w:val="en-US"/>
        </w:rPr>
        <w:t>L</w:t>
      </w:r>
      <w:r w:rsidRPr="00004507">
        <w:rPr>
          <w:rFonts w:ascii="Arial" w:eastAsia="Times-Roman" w:hAnsi="Arial" w:cs="Arial"/>
          <w:color w:val="000000" w:themeColor="text1"/>
          <w:lang w:val="en-US"/>
        </w:rPr>
        <w:t xml:space="preserve"> allele) has the lowest lipid peroxide protection activity </w:t>
      </w:r>
      <w:r w:rsidR="007674E2" w:rsidRPr="00004507">
        <w:rPr>
          <w:rFonts w:ascii="Arial" w:eastAsia="Times-Roman" w:hAnsi="Arial" w:cs="Arial"/>
          <w:color w:val="000000" w:themeColor="text1"/>
          <w:lang w:val="en-US"/>
        </w:rPr>
        <w:t>[4</w:t>
      </w:r>
      <w:r w:rsidR="008C7FBA">
        <w:rPr>
          <w:rFonts w:ascii="Arial" w:eastAsia="Times-Roman" w:hAnsi="Arial" w:cs="Arial"/>
          <w:color w:val="000000" w:themeColor="text1"/>
          <w:lang w:val="en-US"/>
        </w:rPr>
        <w:t>9</w:t>
      </w:r>
      <w:r w:rsidR="00EE5EA5" w:rsidRPr="00004507">
        <w:rPr>
          <w:rFonts w:ascii="Arial" w:eastAsia="Times-Roman" w:hAnsi="Arial" w:cs="Arial"/>
          <w:color w:val="000000" w:themeColor="text1"/>
          <w:lang w:val="en-US"/>
        </w:rPr>
        <w:t>]</w:t>
      </w:r>
      <w:r w:rsidRPr="00004507">
        <w:rPr>
          <w:rFonts w:ascii="Arial" w:eastAsia="Times-Roman" w:hAnsi="Arial" w:cs="Arial"/>
          <w:color w:val="000000" w:themeColor="text1"/>
          <w:lang w:val="en-US"/>
        </w:rPr>
        <w:t>. Therefore, even though</w:t>
      </w:r>
      <w:r w:rsidR="00054321" w:rsidRPr="00004507">
        <w:rPr>
          <w:rFonts w:ascii="Arial" w:eastAsia="Times-Roman" w:hAnsi="Arial" w:cs="Arial"/>
          <w:color w:val="000000" w:themeColor="text1"/>
          <w:lang w:val="en-US"/>
        </w:rPr>
        <w:t xml:space="preserve"> individuals </w:t>
      </w:r>
      <w:r w:rsidR="00362B6D" w:rsidRPr="00004507">
        <w:rPr>
          <w:rFonts w:ascii="Arial" w:eastAsia="Times-Roman" w:hAnsi="Arial" w:cs="Arial"/>
          <w:color w:val="000000" w:themeColor="text1"/>
          <w:lang w:val="en-US"/>
        </w:rPr>
        <w:t xml:space="preserve">with the </w:t>
      </w:r>
      <w:r w:rsidR="00054321" w:rsidRPr="00004507">
        <w:rPr>
          <w:rFonts w:ascii="Arial" w:eastAsia="Times-Roman" w:hAnsi="Arial" w:cs="Arial"/>
          <w:i/>
          <w:color w:val="000000" w:themeColor="text1"/>
          <w:lang w:val="en-US"/>
        </w:rPr>
        <w:t xml:space="preserve">PON1 </w:t>
      </w:r>
      <w:r w:rsidR="00054321" w:rsidRPr="00004507">
        <w:rPr>
          <w:rFonts w:ascii="Arial" w:hAnsi="Arial" w:cs="Arial"/>
          <w:i/>
          <w:color w:val="000000" w:themeColor="text1"/>
          <w:lang w:val="en-US"/>
        </w:rPr>
        <w:t>−</w:t>
      </w:r>
      <w:r w:rsidRPr="00004507">
        <w:rPr>
          <w:rFonts w:ascii="Arial" w:eastAsia="Times-Roman" w:hAnsi="Arial" w:cs="Arial"/>
          <w:i/>
          <w:color w:val="000000" w:themeColor="text1"/>
          <w:lang w:val="en-US"/>
        </w:rPr>
        <w:t xml:space="preserve">107C </w:t>
      </w:r>
      <w:r w:rsidRPr="00004507">
        <w:rPr>
          <w:rFonts w:ascii="Arial" w:eastAsia="Times-Roman" w:hAnsi="Arial" w:cs="Arial"/>
          <w:color w:val="000000" w:themeColor="text1"/>
          <w:lang w:val="en-US"/>
        </w:rPr>
        <w:t>allele have high expression level</w:t>
      </w:r>
      <w:r w:rsidR="00362B6D" w:rsidRPr="00004507">
        <w:rPr>
          <w:rFonts w:ascii="Arial" w:eastAsia="Times-Roman" w:hAnsi="Arial" w:cs="Arial"/>
          <w:color w:val="000000" w:themeColor="text1"/>
          <w:lang w:val="en-US"/>
        </w:rPr>
        <w:t>s</w:t>
      </w:r>
      <w:r w:rsidRPr="00004507">
        <w:rPr>
          <w:rFonts w:ascii="Arial" w:eastAsia="Times-Roman" w:hAnsi="Arial" w:cs="Arial"/>
          <w:color w:val="000000" w:themeColor="text1"/>
          <w:lang w:val="en-US"/>
        </w:rPr>
        <w:t xml:space="preserve"> of PON1, the enzyme </w:t>
      </w:r>
      <w:r w:rsidR="00362B6D" w:rsidRPr="00004507">
        <w:rPr>
          <w:rFonts w:ascii="Arial" w:eastAsia="Times-Roman" w:hAnsi="Arial" w:cs="Arial"/>
          <w:color w:val="000000" w:themeColor="text1"/>
          <w:lang w:val="en-US"/>
        </w:rPr>
        <w:t>conveys</w:t>
      </w:r>
      <w:r w:rsidRPr="00004507">
        <w:rPr>
          <w:rFonts w:ascii="Arial" w:eastAsia="Times-Roman" w:hAnsi="Arial" w:cs="Arial"/>
          <w:color w:val="000000" w:themeColor="text1"/>
          <w:lang w:val="en-US"/>
        </w:rPr>
        <w:t xml:space="preserve"> low protection against oxidation. </w:t>
      </w:r>
    </w:p>
    <w:p w14:paraId="0286B4E1" w14:textId="77777777" w:rsidR="00A750B3" w:rsidRPr="00004507" w:rsidRDefault="00A750B3" w:rsidP="00C15EA2">
      <w:pPr>
        <w:spacing w:after="0" w:line="276" w:lineRule="auto"/>
        <w:jc w:val="both"/>
        <w:rPr>
          <w:rFonts w:ascii="Arial" w:hAnsi="Arial" w:cs="Arial"/>
          <w:color w:val="000000" w:themeColor="text1"/>
          <w:lang w:val="en-US"/>
        </w:rPr>
      </w:pPr>
    </w:p>
    <w:p w14:paraId="04D5C2A1" w14:textId="4F137279" w:rsidR="00A750B3" w:rsidRPr="00004507" w:rsidRDefault="00CC258A" w:rsidP="00C15EA2">
      <w:pPr>
        <w:spacing w:after="240" w:line="276" w:lineRule="auto"/>
        <w:jc w:val="both"/>
        <w:rPr>
          <w:rFonts w:ascii="Arial" w:hAnsi="Arial" w:cs="Arial"/>
          <w:color w:val="000000" w:themeColor="text1"/>
          <w:lang w:val="en-US"/>
        </w:rPr>
      </w:pPr>
      <w:r w:rsidRPr="00004507">
        <w:rPr>
          <w:rFonts w:ascii="Arial" w:hAnsi="Arial" w:cs="Arial"/>
          <w:color w:val="000000" w:themeColor="text1"/>
          <w:lang w:val="en-US"/>
        </w:rPr>
        <w:t>Knowledge about patients’</w:t>
      </w:r>
      <w:r w:rsidR="00A750B3" w:rsidRPr="00004507">
        <w:rPr>
          <w:rFonts w:ascii="Arial" w:hAnsi="Arial" w:cs="Arial"/>
          <w:color w:val="000000" w:themeColor="text1"/>
          <w:lang w:val="en-US"/>
        </w:rPr>
        <w:t xml:space="preserve"> </w:t>
      </w:r>
      <w:r w:rsidR="00A750B3" w:rsidRPr="00004507">
        <w:rPr>
          <w:rFonts w:ascii="Arial" w:hAnsi="Arial" w:cs="Arial"/>
          <w:i/>
          <w:color w:val="000000" w:themeColor="text1"/>
          <w:lang w:val="en-US"/>
        </w:rPr>
        <w:t>PON1</w:t>
      </w:r>
      <w:r w:rsidR="00A750B3" w:rsidRPr="00004507">
        <w:rPr>
          <w:rFonts w:ascii="Arial" w:hAnsi="Arial" w:cs="Arial"/>
          <w:color w:val="000000" w:themeColor="text1"/>
          <w:lang w:val="en-US"/>
        </w:rPr>
        <w:t xml:space="preserve"> genetic profile can also be of interest </w:t>
      </w:r>
      <w:r w:rsidRPr="00004507">
        <w:rPr>
          <w:rFonts w:ascii="Arial" w:hAnsi="Arial" w:cs="Arial"/>
          <w:color w:val="000000" w:themeColor="text1"/>
          <w:lang w:val="en-US"/>
        </w:rPr>
        <w:t>to</w:t>
      </w:r>
      <w:r w:rsidR="00A750B3" w:rsidRPr="00004507">
        <w:rPr>
          <w:rFonts w:ascii="Arial" w:hAnsi="Arial" w:cs="Arial"/>
          <w:color w:val="000000" w:themeColor="text1"/>
          <w:lang w:val="en-US"/>
        </w:rPr>
        <w:t xml:space="preserve"> glaucom</w:t>
      </w:r>
      <w:r w:rsidRPr="00004507">
        <w:rPr>
          <w:rFonts w:ascii="Arial" w:hAnsi="Arial" w:cs="Arial"/>
          <w:color w:val="000000" w:themeColor="text1"/>
          <w:lang w:val="en-US"/>
        </w:rPr>
        <w:t>a patients and ophthalmologists</w:t>
      </w:r>
      <w:r w:rsidR="00A750B3" w:rsidRPr="00004507">
        <w:rPr>
          <w:rFonts w:ascii="Arial" w:hAnsi="Arial" w:cs="Arial"/>
          <w:color w:val="000000" w:themeColor="text1"/>
          <w:lang w:val="en-US"/>
        </w:rPr>
        <w:t xml:space="preserve"> because some medications used in glaucoma treatment are metabolized by </w:t>
      </w:r>
      <w:r w:rsidR="00510023" w:rsidRPr="00004507">
        <w:rPr>
          <w:rFonts w:ascii="Arial" w:hAnsi="Arial" w:cs="Arial"/>
          <w:color w:val="000000" w:themeColor="text1"/>
          <w:lang w:val="en-US"/>
        </w:rPr>
        <w:t xml:space="preserve">the </w:t>
      </w:r>
      <w:r w:rsidR="00A750B3" w:rsidRPr="00004507">
        <w:rPr>
          <w:rFonts w:ascii="Arial" w:hAnsi="Arial" w:cs="Arial"/>
          <w:color w:val="000000" w:themeColor="text1"/>
          <w:lang w:val="en-US"/>
        </w:rPr>
        <w:t xml:space="preserve">PON1 enzyme. For example, </w:t>
      </w:r>
      <w:r w:rsidR="00A750B3" w:rsidRPr="00004507">
        <w:rPr>
          <w:rFonts w:ascii="Arial" w:hAnsi="Arial" w:cs="Arial"/>
          <w:color w:val="000000" w:themeColor="text1"/>
          <w:shd w:val="clear" w:color="auto" w:fill="FFFFFF"/>
          <w:lang w:val="en-US"/>
        </w:rPr>
        <w:t xml:space="preserve">the major metabolic pathways of </w:t>
      </w:r>
      <w:proofErr w:type="spellStart"/>
      <w:r w:rsidR="00A750B3" w:rsidRPr="00004507">
        <w:rPr>
          <w:rFonts w:ascii="Arial" w:hAnsi="Arial" w:cs="Arial"/>
          <w:color w:val="000000" w:themeColor="text1"/>
          <w:shd w:val="clear" w:color="auto" w:fill="FFFFFF"/>
          <w:lang w:val="en-US"/>
        </w:rPr>
        <w:t>pilocarpine</w:t>
      </w:r>
      <w:proofErr w:type="spellEnd"/>
      <w:r w:rsidR="00A750B3" w:rsidRPr="00004507">
        <w:rPr>
          <w:rFonts w:ascii="Arial" w:hAnsi="Arial" w:cs="Arial"/>
          <w:color w:val="000000" w:themeColor="text1"/>
          <w:shd w:val="clear" w:color="auto" w:fill="FFFFFF"/>
          <w:lang w:val="en-US"/>
        </w:rPr>
        <w:t xml:space="preserve">, a medication used for the treatment of angle closure glaucoma to decrease </w:t>
      </w:r>
      <w:r w:rsidR="00510023" w:rsidRPr="00004507">
        <w:rPr>
          <w:rFonts w:ascii="Arial" w:hAnsi="Arial" w:cs="Arial"/>
          <w:color w:val="000000" w:themeColor="text1"/>
          <w:shd w:val="clear" w:color="auto" w:fill="FFFFFF"/>
          <w:lang w:val="en-US"/>
        </w:rPr>
        <w:t>IOP</w:t>
      </w:r>
      <w:r w:rsidR="00A750B3" w:rsidRPr="00004507">
        <w:rPr>
          <w:rFonts w:ascii="Arial" w:hAnsi="Arial" w:cs="Arial"/>
          <w:color w:val="000000" w:themeColor="text1"/>
          <w:shd w:val="clear" w:color="auto" w:fill="FFFFFF"/>
          <w:lang w:val="en-US"/>
        </w:rPr>
        <w:t xml:space="preserve">, includes hydrolysis by </w:t>
      </w:r>
      <w:r w:rsidR="00510023" w:rsidRPr="00004507">
        <w:rPr>
          <w:rFonts w:ascii="Arial" w:hAnsi="Arial" w:cs="Arial"/>
          <w:color w:val="000000" w:themeColor="text1"/>
          <w:shd w:val="clear" w:color="auto" w:fill="FFFFFF"/>
          <w:lang w:val="en-US"/>
        </w:rPr>
        <w:t xml:space="preserve">the </w:t>
      </w:r>
      <w:r w:rsidR="00A750B3" w:rsidRPr="00004507">
        <w:rPr>
          <w:rFonts w:ascii="Arial" w:hAnsi="Arial" w:cs="Arial"/>
          <w:color w:val="000000" w:themeColor="text1"/>
          <w:shd w:val="clear" w:color="auto" w:fill="FFFFFF"/>
          <w:lang w:val="en-US"/>
        </w:rPr>
        <w:t xml:space="preserve">PON1 enzyme. </w:t>
      </w:r>
      <w:r w:rsidR="00510023" w:rsidRPr="00004507">
        <w:rPr>
          <w:rFonts w:ascii="Arial" w:hAnsi="Arial" w:cs="Arial"/>
          <w:color w:val="000000" w:themeColor="text1"/>
          <w:shd w:val="clear" w:color="auto" w:fill="FFFFFF"/>
          <w:lang w:val="en-US"/>
        </w:rPr>
        <w:t>Moreover, it h</w:t>
      </w:r>
      <w:r w:rsidR="00A750B3" w:rsidRPr="00004507">
        <w:rPr>
          <w:rFonts w:ascii="Arial" w:hAnsi="Arial" w:cs="Arial"/>
          <w:color w:val="000000" w:themeColor="text1"/>
          <w:shd w:val="clear" w:color="auto" w:fill="FFFFFF"/>
          <w:lang w:val="en-US"/>
        </w:rPr>
        <w:t xml:space="preserve">as </w:t>
      </w:r>
      <w:r w:rsidR="00510023" w:rsidRPr="00004507">
        <w:rPr>
          <w:rFonts w:ascii="Arial" w:hAnsi="Arial" w:cs="Arial"/>
          <w:color w:val="000000" w:themeColor="text1"/>
          <w:shd w:val="clear" w:color="auto" w:fill="FFFFFF"/>
          <w:lang w:val="en-US"/>
        </w:rPr>
        <w:t xml:space="preserve">been </w:t>
      </w:r>
      <w:r w:rsidR="00A750B3" w:rsidRPr="00004507">
        <w:rPr>
          <w:rFonts w:ascii="Arial" w:hAnsi="Arial" w:cs="Arial"/>
          <w:color w:val="000000" w:themeColor="text1"/>
          <w:shd w:val="clear" w:color="auto" w:fill="FFFFFF"/>
          <w:lang w:val="en-US"/>
        </w:rPr>
        <w:t xml:space="preserve">shown that </w:t>
      </w:r>
      <w:r w:rsidR="00510023" w:rsidRPr="00004507">
        <w:rPr>
          <w:rFonts w:ascii="Arial" w:hAnsi="Arial" w:cs="Arial"/>
          <w:color w:val="000000" w:themeColor="text1"/>
          <w:shd w:val="clear" w:color="auto" w:fill="FFFFFF"/>
          <w:lang w:val="en-US"/>
        </w:rPr>
        <w:t xml:space="preserve">the </w:t>
      </w:r>
      <w:r w:rsidR="00A750B3" w:rsidRPr="00004507">
        <w:rPr>
          <w:rFonts w:ascii="Arial" w:hAnsi="Arial" w:cs="Arial"/>
          <w:i/>
          <w:color w:val="000000" w:themeColor="text1"/>
          <w:shd w:val="clear" w:color="auto" w:fill="FFFFFF"/>
          <w:lang w:val="en-US"/>
        </w:rPr>
        <w:t>PON1 192Q/R</w:t>
      </w:r>
      <w:r w:rsidR="00A750B3" w:rsidRPr="00004507">
        <w:rPr>
          <w:rFonts w:ascii="Arial" w:hAnsi="Arial" w:cs="Arial"/>
          <w:color w:val="000000" w:themeColor="text1"/>
          <w:shd w:val="clear" w:color="auto" w:fill="FFFFFF"/>
          <w:lang w:val="en-US"/>
        </w:rPr>
        <w:t xml:space="preserve"> </w:t>
      </w:r>
      <w:r w:rsidR="004857C5">
        <w:rPr>
          <w:rFonts w:ascii="Arial" w:hAnsi="Arial" w:cs="Arial"/>
          <w:color w:val="000000" w:themeColor="text1"/>
          <w:shd w:val="clear" w:color="auto" w:fill="FFFFFF"/>
          <w:lang w:val="en-US"/>
        </w:rPr>
        <w:t>variation</w:t>
      </w:r>
      <w:r w:rsidR="00A750B3" w:rsidRPr="00004507">
        <w:rPr>
          <w:rFonts w:ascii="Arial" w:hAnsi="Arial" w:cs="Arial"/>
          <w:color w:val="000000" w:themeColor="text1"/>
          <w:shd w:val="clear" w:color="auto" w:fill="FFFFFF"/>
          <w:lang w:val="en-US"/>
        </w:rPr>
        <w:t xml:space="preserve"> affects </w:t>
      </w:r>
      <w:proofErr w:type="spellStart"/>
      <w:r w:rsidR="00A750B3" w:rsidRPr="00004507">
        <w:rPr>
          <w:rFonts w:ascii="Arial" w:hAnsi="Arial" w:cs="Arial"/>
          <w:color w:val="000000" w:themeColor="text1"/>
          <w:shd w:val="clear" w:color="auto" w:fill="FFFFFF"/>
          <w:lang w:val="en-US"/>
        </w:rPr>
        <w:t>pilocarpine</w:t>
      </w:r>
      <w:proofErr w:type="spellEnd"/>
      <w:r w:rsidR="00A750B3" w:rsidRPr="00004507">
        <w:rPr>
          <w:rFonts w:ascii="Arial" w:hAnsi="Arial" w:cs="Arial"/>
          <w:color w:val="000000" w:themeColor="text1"/>
          <w:shd w:val="clear" w:color="auto" w:fill="FFFFFF"/>
          <w:lang w:val="en-US"/>
        </w:rPr>
        <w:t xml:space="preserve"> hydrolase activity </w:t>
      </w:r>
      <w:r w:rsidR="007674E2" w:rsidRPr="00004507">
        <w:rPr>
          <w:rFonts w:ascii="Arial" w:hAnsi="Arial" w:cs="Arial"/>
          <w:color w:val="000000" w:themeColor="text1"/>
          <w:shd w:val="clear" w:color="auto" w:fill="FFFFFF"/>
          <w:lang w:val="en-US"/>
        </w:rPr>
        <w:t>[5</w:t>
      </w:r>
      <w:r w:rsidR="008C7FBA">
        <w:rPr>
          <w:rFonts w:ascii="Arial" w:hAnsi="Arial" w:cs="Arial"/>
          <w:color w:val="000000" w:themeColor="text1"/>
          <w:shd w:val="clear" w:color="auto" w:fill="FFFFFF"/>
          <w:lang w:val="en-US"/>
        </w:rPr>
        <w:t>6</w:t>
      </w:r>
      <w:r w:rsidR="00EE5EA5" w:rsidRPr="00004507">
        <w:rPr>
          <w:rFonts w:ascii="Arial" w:hAnsi="Arial" w:cs="Arial"/>
          <w:color w:val="000000" w:themeColor="text1"/>
          <w:shd w:val="clear" w:color="auto" w:fill="FFFFFF"/>
          <w:lang w:val="en-US"/>
        </w:rPr>
        <w:t>]</w:t>
      </w:r>
      <w:r w:rsidR="00A750B3" w:rsidRPr="00004507">
        <w:rPr>
          <w:rFonts w:ascii="Arial" w:hAnsi="Arial" w:cs="Arial"/>
          <w:color w:val="000000" w:themeColor="text1"/>
          <w:shd w:val="clear" w:color="auto" w:fill="FFFFFF"/>
          <w:lang w:val="en-US"/>
        </w:rPr>
        <w:t>.</w:t>
      </w:r>
    </w:p>
    <w:p w14:paraId="17985862" w14:textId="6F116EC7" w:rsidR="00A750B3" w:rsidRPr="00004507" w:rsidRDefault="00C6448E" w:rsidP="00C15EA2">
      <w:pPr>
        <w:spacing w:after="240" w:line="276" w:lineRule="auto"/>
        <w:jc w:val="both"/>
        <w:rPr>
          <w:rFonts w:ascii="Arial" w:hAnsi="Arial" w:cs="Arial"/>
          <w:color w:val="000000" w:themeColor="text1"/>
          <w:spacing w:val="2"/>
          <w:shd w:val="clear" w:color="auto" w:fill="FCFCFC"/>
          <w:lang w:val="en-US"/>
        </w:rPr>
      </w:pPr>
      <w:r w:rsidRPr="00004507">
        <w:rPr>
          <w:rFonts w:ascii="Arial" w:hAnsi="Arial" w:cs="Arial"/>
          <w:color w:val="000000" w:themeColor="text1"/>
          <w:lang w:val="en-US"/>
        </w:rPr>
        <w:t>N</w:t>
      </w:r>
      <w:r w:rsidR="00A750B3" w:rsidRPr="00004507">
        <w:rPr>
          <w:rFonts w:ascii="Arial" w:hAnsi="Arial" w:cs="Arial"/>
          <w:color w:val="000000" w:themeColor="text1"/>
          <w:lang w:val="en-US"/>
        </w:rPr>
        <w:t xml:space="preserve">o other genetic association studies in the literature </w:t>
      </w:r>
      <w:r w:rsidRPr="00004507">
        <w:rPr>
          <w:rFonts w:ascii="Arial" w:hAnsi="Arial" w:cs="Arial"/>
          <w:color w:val="000000" w:themeColor="text1"/>
          <w:lang w:val="en-US"/>
        </w:rPr>
        <w:t xml:space="preserve">have analyzed </w:t>
      </w:r>
      <w:r w:rsidR="00A750B3" w:rsidRPr="00004507">
        <w:rPr>
          <w:rFonts w:ascii="Arial" w:hAnsi="Arial" w:cs="Arial"/>
          <w:color w:val="000000" w:themeColor="text1"/>
          <w:lang w:val="en-US"/>
        </w:rPr>
        <w:t xml:space="preserve">the role of </w:t>
      </w:r>
      <w:r w:rsidR="00A750B3" w:rsidRPr="00004507">
        <w:rPr>
          <w:rFonts w:ascii="Arial" w:hAnsi="Arial" w:cs="Arial"/>
          <w:i/>
          <w:color w:val="000000" w:themeColor="text1"/>
          <w:lang w:val="en-US"/>
        </w:rPr>
        <w:t>PON1</w:t>
      </w:r>
      <w:r w:rsidR="00A750B3" w:rsidRPr="00004507">
        <w:rPr>
          <w:rFonts w:ascii="Arial" w:hAnsi="Arial" w:cs="Arial"/>
          <w:color w:val="000000" w:themeColor="text1"/>
          <w:lang w:val="en-US"/>
        </w:rPr>
        <w:t xml:space="preserve"> </w:t>
      </w:r>
      <w:r w:rsidR="00077403">
        <w:rPr>
          <w:rFonts w:ascii="Arial" w:hAnsi="Arial" w:cs="Arial"/>
          <w:color w:val="000000" w:themeColor="text1"/>
          <w:lang w:val="en-US"/>
        </w:rPr>
        <w:t>variants</w:t>
      </w:r>
      <w:r w:rsidR="00A750B3" w:rsidRPr="00004507">
        <w:rPr>
          <w:rFonts w:ascii="Arial" w:hAnsi="Arial" w:cs="Arial"/>
          <w:color w:val="000000" w:themeColor="text1"/>
          <w:lang w:val="en-US"/>
        </w:rPr>
        <w:t xml:space="preserve"> in PEG and PEX risk. </w:t>
      </w:r>
      <w:r w:rsidR="00834B07" w:rsidRPr="00004507">
        <w:rPr>
          <w:rFonts w:ascii="Arial" w:hAnsi="Arial" w:cs="Arial"/>
          <w:color w:val="000000" w:themeColor="text1"/>
          <w:lang w:val="en-US"/>
        </w:rPr>
        <w:t xml:space="preserve">However, </w:t>
      </w:r>
      <w:r w:rsidR="00A750B3" w:rsidRPr="00004507">
        <w:rPr>
          <w:rFonts w:ascii="Arial" w:hAnsi="Arial" w:cs="Arial"/>
          <w:color w:val="000000" w:themeColor="text1"/>
          <w:shd w:val="clear" w:color="auto" w:fill="FFFFFF"/>
          <w:lang w:val="en-US"/>
        </w:rPr>
        <w:t xml:space="preserve">in </w:t>
      </w:r>
      <w:r w:rsidR="00834B07" w:rsidRPr="00004507">
        <w:rPr>
          <w:rFonts w:ascii="Arial" w:hAnsi="Arial" w:cs="Arial"/>
          <w:color w:val="000000" w:themeColor="text1"/>
          <w:shd w:val="clear" w:color="auto" w:fill="FFFFFF"/>
          <w:lang w:val="en-US"/>
        </w:rPr>
        <w:t xml:space="preserve">a </w:t>
      </w:r>
      <w:r w:rsidR="00A750B3" w:rsidRPr="00004507">
        <w:rPr>
          <w:rFonts w:ascii="Arial" w:hAnsi="Arial" w:cs="Arial"/>
          <w:color w:val="000000" w:themeColor="text1"/>
          <w:shd w:val="clear" w:color="auto" w:fill="FFFFFF"/>
          <w:lang w:val="en-US"/>
        </w:rPr>
        <w:t>Chinese population</w:t>
      </w:r>
      <w:r w:rsidR="00834B07" w:rsidRPr="00004507">
        <w:rPr>
          <w:rFonts w:ascii="Arial" w:hAnsi="Arial" w:cs="Arial"/>
          <w:color w:val="000000" w:themeColor="text1"/>
          <w:shd w:val="clear" w:color="auto" w:fill="FFFFFF"/>
          <w:lang w:val="en-US"/>
        </w:rPr>
        <w:t xml:space="preserve"> the</w:t>
      </w:r>
      <w:r w:rsidR="00A750B3" w:rsidRPr="00004507">
        <w:rPr>
          <w:rFonts w:ascii="Arial" w:hAnsi="Arial" w:cs="Arial"/>
          <w:color w:val="000000" w:themeColor="text1"/>
          <w:shd w:val="clear" w:color="auto" w:fill="FFFFFF"/>
          <w:lang w:val="en-US"/>
        </w:rPr>
        <w:t xml:space="preserve"> </w:t>
      </w:r>
      <w:r w:rsidR="00A750B3" w:rsidRPr="00004507">
        <w:rPr>
          <w:rFonts w:ascii="Arial" w:hAnsi="Arial" w:cs="Arial"/>
          <w:i/>
          <w:color w:val="000000" w:themeColor="text1"/>
          <w:spacing w:val="2"/>
          <w:shd w:val="clear" w:color="auto" w:fill="FCFCFC"/>
          <w:lang w:val="en-US"/>
        </w:rPr>
        <w:t xml:space="preserve">PON1 </w:t>
      </w:r>
      <w:r w:rsidR="00A750B3" w:rsidRPr="00004507">
        <w:rPr>
          <w:rFonts w:ascii="Arial" w:hAnsi="Arial" w:cs="Arial"/>
          <w:i/>
          <w:color w:val="000000" w:themeColor="text1"/>
          <w:lang w:val="en-US"/>
        </w:rPr>
        <w:t>192Q/R</w:t>
      </w:r>
      <w:r w:rsidR="00A750B3" w:rsidRPr="00004507">
        <w:rPr>
          <w:rFonts w:ascii="Arial" w:hAnsi="Arial" w:cs="Arial"/>
          <w:color w:val="000000" w:themeColor="text1"/>
          <w:lang w:val="en-US"/>
        </w:rPr>
        <w:t xml:space="preserve"> genetic</w:t>
      </w:r>
      <w:r w:rsidR="00834B07" w:rsidRPr="00004507">
        <w:rPr>
          <w:rFonts w:ascii="Arial" w:hAnsi="Arial" w:cs="Arial"/>
          <w:color w:val="000000" w:themeColor="text1"/>
          <w:lang w:val="en-US"/>
        </w:rPr>
        <w:t xml:space="preserve"> </w:t>
      </w:r>
      <w:r w:rsidR="004857C5">
        <w:rPr>
          <w:rFonts w:ascii="Arial" w:hAnsi="Arial" w:cs="Arial"/>
          <w:color w:val="000000" w:themeColor="text1"/>
          <w:lang w:val="en-US"/>
        </w:rPr>
        <w:t>variation</w:t>
      </w:r>
      <w:r w:rsidR="00834B07" w:rsidRPr="00004507">
        <w:rPr>
          <w:rFonts w:ascii="Arial" w:hAnsi="Arial" w:cs="Arial"/>
          <w:color w:val="000000" w:themeColor="text1"/>
          <w:lang w:val="en-US"/>
        </w:rPr>
        <w:t xml:space="preserve"> was reported as</w:t>
      </w:r>
      <w:r w:rsidR="00A750B3" w:rsidRPr="00004507">
        <w:rPr>
          <w:rFonts w:ascii="Arial" w:hAnsi="Arial" w:cs="Arial"/>
          <w:color w:val="000000" w:themeColor="text1"/>
          <w:lang w:val="en-US"/>
        </w:rPr>
        <w:t xml:space="preserve"> significantly associated with </w:t>
      </w:r>
      <w:r w:rsidR="00A750B3" w:rsidRPr="00004507">
        <w:rPr>
          <w:rFonts w:ascii="Arial" w:hAnsi="Arial" w:cs="Arial"/>
          <w:color w:val="000000" w:themeColor="text1"/>
          <w:shd w:val="clear" w:color="auto" w:fill="FFFFFF"/>
          <w:lang w:val="en-US"/>
        </w:rPr>
        <w:t>POAG</w:t>
      </w:r>
      <w:r w:rsidR="007674E2" w:rsidRPr="00004507">
        <w:rPr>
          <w:rFonts w:ascii="Arial" w:hAnsi="Arial" w:cs="Arial"/>
          <w:color w:val="000000" w:themeColor="text1"/>
          <w:shd w:val="clear" w:color="auto" w:fill="FFFFFF"/>
          <w:lang w:val="en-US"/>
        </w:rPr>
        <w:t xml:space="preserve"> [5</w:t>
      </w:r>
      <w:r w:rsidR="008C7FBA">
        <w:rPr>
          <w:rFonts w:ascii="Arial" w:hAnsi="Arial" w:cs="Arial"/>
          <w:color w:val="000000" w:themeColor="text1"/>
          <w:shd w:val="clear" w:color="auto" w:fill="FFFFFF"/>
          <w:lang w:val="en-US"/>
        </w:rPr>
        <w:t>7</w:t>
      </w:r>
      <w:r w:rsidR="00EE5EA5" w:rsidRPr="00004507">
        <w:rPr>
          <w:rFonts w:ascii="Arial" w:hAnsi="Arial" w:cs="Arial"/>
          <w:color w:val="000000" w:themeColor="text1"/>
          <w:shd w:val="clear" w:color="auto" w:fill="FFFFFF"/>
          <w:lang w:val="en-US"/>
        </w:rPr>
        <w:t>]</w:t>
      </w:r>
      <w:r w:rsidR="00A750B3" w:rsidRPr="00004507">
        <w:rPr>
          <w:rFonts w:ascii="Arial" w:hAnsi="Arial" w:cs="Arial"/>
          <w:color w:val="000000" w:themeColor="text1"/>
          <w:shd w:val="clear" w:color="auto" w:fill="FFFFFF"/>
          <w:lang w:val="en-US"/>
        </w:rPr>
        <w:t xml:space="preserve">. </w:t>
      </w:r>
      <w:r w:rsidR="00A750B3" w:rsidRPr="00004507">
        <w:rPr>
          <w:rFonts w:ascii="Arial" w:hAnsi="Arial" w:cs="Arial"/>
          <w:color w:val="000000" w:themeColor="text1"/>
          <w:spacing w:val="2"/>
          <w:shd w:val="clear" w:color="auto" w:fill="FCFCFC"/>
          <w:lang w:val="en-US"/>
        </w:rPr>
        <w:t xml:space="preserve">On the other hand, </w:t>
      </w:r>
      <w:r w:rsidR="00A750B3" w:rsidRPr="00004507">
        <w:rPr>
          <w:rFonts w:ascii="Arial" w:hAnsi="Arial" w:cs="Arial"/>
          <w:color w:val="000000" w:themeColor="text1"/>
          <w:lang w:val="en-US"/>
        </w:rPr>
        <w:t xml:space="preserve">in a study analyzing the </w:t>
      </w:r>
      <w:r w:rsidR="00A750B3" w:rsidRPr="00004507">
        <w:rPr>
          <w:rFonts w:ascii="Arial" w:hAnsi="Arial" w:cs="Arial"/>
          <w:color w:val="000000" w:themeColor="text1"/>
          <w:spacing w:val="2"/>
          <w:shd w:val="clear" w:color="auto" w:fill="FCFCFC"/>
          <w:lang w:val="en-US"/>
        </w:rPr>
        <w:t xml:space="preserve">associations of </w:t>
      </w:r>
      <w:r w:rsidR="00A750B3" w:rsidRPr="00004507">
        <w:rPr>
          <w:rFonts w:ascii="Arial" w:hAnsi="Arial" w:cs="Arial"/>
          <w:i/>
          <w:color w:val="000000" w:themeColor="text1"/>
          <w:spacing w:val="2"/>
          <w:shd w:val="clear" w:color="auto" w:fill="FCFCFC"/>
          <w:lang w:val="en-US"/>
        </w:rPr>
        <w:t>PON1 55L/M</w:t>
      </w:r>
      <w:r w:rsidR="00834B07" w:rsidRPr="00004507">
        <w:rPr>
          <w:rFonts w:ascii="Arial" w:hAnsi="Arial" w:cs="Arial"/>
          <w:color w:val="000000" w:themeColor="text1"/>
          <w:spacing w:val="2"/>
          <w:shd w:val="clear" w:color="auto" w:fill="FCFCFC"/>
          <w:lang w:val="en-US"/>
        </w:rPr>
        <w:t xml:space="preserve"> and </w:t>
      </w:r>
      <w:r w:rsidR="00A750B3" w:rsidRPr="00004507">
        <w:rPr>
          <w:rFonts w:ascii="Arial" w:hAnsi="Arial" w:cs="Arial"/>
          <w:i/>
          <w:color w:val="000000" w:themeColor="text1"/>
          <w:spacing w:val="2"/>
          <w:shd w:val="clear" w:color="auto" w:fill="FCFCFC"/>
          <w:lang w:val="en-US"/>
        </w:rPr>
        <w:t>192Q/R</w:t>
      </w:r>
      <w:r w:rsidR="00A750B3" w:rsidRPr="00004507">
        <w:rPr>
          <w:rFonts w:ascii="Arial" w:hAnsi="Arial" w:cs="Arial"/>
          <w:color w:val="000000" w:themeColor="text1"/>
          <w:spacing w:val="2"/>
          <w:shd w:val="clear" w:color="auto" w:fill="FCFCFC"/>
          <w:lang w:val="en-US"/>
        </w:rPr>
        <w:t xml:space="preserve">, as well as </w:t>
      </w:r>
      <w:r w:rsidR="00A750B3" w:rsidRPr="00004507">
        <w:rPr>
          <w:rFonts w:ascii="Arial" w:hAnsi="Arial" w:cs="Arial"/>
          <w:i/>
          <w:color w:val="000000" w:themeColor="text1"/>
          <w:spacing w:val="2"/>
          <w:shd w:val="clear" w:color="auto" w:fill="FCFCFC"/>
          <w:lang w:val="en-US"/>
        </w:rPr>
        <w:t>PON2 311S/C</w:t>
      </w:r>
      <w:r w:rsidR="00A750B3" w:rsidRPr="00004507">
        <w:rPr>
          <w:rFonts w:ascii="Arial" w:hAnsi="Arial" w:cs="Arial"/>
          <w:color w:val="000000" w:themeColor="text1"/>
          <w:spacing w:val="2"/>
          <w:shd w:val="clear" w:color="auto" w:fill="FCFCFC"/>
          <w:lang w:val="en-US"/>
        </w:rPr>
        <w:t xml:space="preserve"> and </w:t>
      </w:r>
      <w:r w:rsidR="00A750B3" w:rsidRPr="00004507">
        <w:rPr>
          <w:rFonts w:ascii="Arial" w:hAnsi="Arial" w:cs="Arial"/>
          <w:i/>
          <w:color w:val="000000" w:themeColor="text1"/>
          <w:spacing w:val="2"/>
          <w:shd w:val="clear" w:color="auto" w:fill="FCFCFC"/>
          <w:lang w:val="en-US"/>
        </w:rPr>
        <w:t>PAF-AH/V279F</w:t>
      </w:r>
      <w:r w:rsidR="00A750B3" w:rsidRPr="00004507">
        <w:rPr>
          <w:rFonts w:ascii="Arial" w:hAnsi="Arial" w:cs="Arial"/>
          <w:color w:val="000000" w:themeColor="text1"/>
          <w:spacing w:val="2"/>
          <w:shd w:val="clear" w:color="auto" w:fill="FCFCFC"/>
          <w:lang w:val="en-US"/>
        </w:rPr>
        <w:t xml:space="preserve"> with POAG and normal-tension glaucoma in </w:t>
      </w:r>
      <w:r w:rsidR="006E2148" w:rsidRPr="00004507">
        <w:rPr>
          <w:rFonts w:ascii="Arial" w:hAnsi="Arial" w:cs="Arial"/>
          <w:color w:val="000000" w:themeColor="text1"/>
          <w:spacing w:val="2"/>
          <w:shd w:val="clear" w:color="auto" w:fill="FCFCFC"/>
          <w:lang w:val="en-US"/>
        </w:rPr>
        <w:t xml:space="preserve">a </w:t>
      </w:r>
      <w:r w:rsidR="00A750B3" w:rsidRPr="00004507">
        <w:rPr>
          <w:rFonts w:ascii="Arial" w:hAnsi="Arial" w:cs="Arial"/>
          <w:color w:val="000000" w:themeColor="text1"/>
          <w:spacing w:val="2"/>
          <w:shd w:val="clear" w:color="auto" w:fill="FCFCFC"/>
          <w:lang w:val="en-US"/>
        </w:rPr>
        <w:t>Japanese population, the gen</w:t>
      </w:r>
      <w:r w:rsidR="006E2148" w:rsidRPr="00004507">
        <w:rPr>
          <w:rFonts w:ascii="Arial" w:hAnsi="Arial" w:cs="Arial"/>
          <w:color w:val="000000" w:themeColor="text1"/>
          <w:spacing w:val="2"/>
          <w:shd w:val="clear" w:color="auto" w:fill="FCFCFC"/>
          <w:lang w:val="en-US"/>
        </w:rPr>
        <w:t>otype and allele frequencies of</w:t>
      </w:r>
      <w:r w:rsidR="00A750B3" w:rsidRPr="00004507">
        <w:rPr>
          <w:rFonts w:ascii="Arial" w:hAnsi="Arial" w:cs="Arial"/>
          <w:color w:val="000000" w:themeColor="text1"/>
          <w:spacing w:val="2"/>
          <w:shd w:val="clear" w:color="auto" w:fill="FCFCFC"/>
          <w:lang w:val="en-US"/>
        </w:rPr>
        <w:t xml:space="preserve"> these </w:t>
      </w:r>
      <w:r w:rsidR="004857C5">
        <w:rPr>
          <w:rFonts w:ascii="Arial" w:hAnsi="Arial" w:cs="Arial"/>
          <w:color w:val="000000" w:themeColor="text1"/>
          <w:spacing w:val="2"/>
          <w:shd w:val="clear" w:color="auto" w:fill="FCFCFC"/>
          <w:lang w:val="en-US"/>
        </w:rPr>
        <w:t>alterations</w:t>
      </w:r>
      <w:r w:rsidR="00A750B3" w:rsidRPr="00004507">
        <w:rPr>
          <w:rFonts w:ascii="Arial" w:hAnsi="Arial" w:cs="Arial"/>
          <w:color w:val="000000" w:themeColor="text1"/>
          <w:spacing w:val="2"/>
          <w:shd w:val="clear" w:color="auto" w:fill="FCFCFC"/>
          <w:lang w:val="en-US"/>
        </w:rPr>
        <w:t xml:space="preserve"> did not differ significantly between</w:t>
      </w:r>
      <w:r w:rsidR="001D569C" w:rsidRPr="00004507">
        <w:rPr>
          <w:rFonts w:ascii="Arial" w:hAnsi="Arial" w:cs="Arial"/>
          <w:color w:val="000000" w:themeColor="text1"/>
          <w:spacing w:val="2"/>
          <w:shd w:val="clear" w:color="auto" w:fill="FCFCFC"/>
          <w:lang w:val="en-US"/>
        </w:rPr>
        <w:t xml:space="preserve"> any patient group and controls</w:t>
      </w:r>
      <w:r w:rsidR="00A750B3" w:rsidRPr="00004507">
        <w:rPr>
          <w:rFonts w:ascii="Arial" w:hAnsi="Arial" w:cs="Arial"/>
          <w:color w:val="000000" w:themeColor="text1"/>
          <w:spacing w:val="2"/>
          <w:shd w:val="clear" w:color="auto" w:fill="FCFCFC"/>
          <w:lang w:val="en-US"/>
        </w:rPr>
        <w:t xml:space="preserve">. Interestingly, the IOP at diagnosis was significantly higher in glaucoma patients carrying </w:t>
      </w:r>
      <w:r w:rsidR="00A750B3" w:rsidRPr="00004507">
        <w:rPr>
          <w:rStyle w:val="Vurgu"/>
          <w:rFonts w:ascii="Arial" w:hAnsi="Arial" w:cs="Arial"/>
          <w:color w:val="000000" w:themeColor="text1"/>
          <w:spacing w:val="2"/>
          <w:shd w:val="clear" w:color="auto" w:fill="FCFCFC"/>
          <w:lang w:val="en-US"/>
        </w:rPr>
        <w:t>PON1</w:t>
      </w:r>
      <w:r w:rsidR="00A750B3" w:rsidRPr="00004507">
        <w:rPr>
          <w:rFonts w:ascii="Arial" w:hAnsi="Arial" w:cs="Arial"/>
          <w:i/>
          <w:color w:val="000000" w:themeColor="text1"/>
          <w:spacing w:val="2"/>
          <w:shd w:val="clear" w:color="auto" w:fill="FCFCFC"/>
          <w:lang w:val="en-US"/>
        </w:rPr>
        <w:t xml:space="preserve"> 192R </w:t>
      </w:r>
      <w:r w:rsidR="00A750B3" w:rsidRPr="00004507">
        <w:rPr>
          <w:rFonts w:ascii="Arial" w:hAnsi="Arial" w:cs="Arial"/>
          <w:color w:val="000000" w:themeColor="text1"/>
          <w:spacing w:val="2"/>
          <w:shd w:val="clear" w:color="auto" w:fill="FCFCFC"/>
          <w:lang w:val="en-US"/>
        </w:rPr>
        <w:t>than in patients not carrying</w:t>
      </w:r>
      <w:r w:rsidR="006E2148" w:rsidRPr="00004507">
        <w:rPr>
          <w:rFonts w:ascii="Arial" w:hAnsi="Arial" w:cs="Arial"/>
          <w:color w:val="000000" w:themeColor="text1"/>
          <w:spacing w:val="2"/>
          <w:shd w:val="clear" w:color="auto" w:fill="FCFCFC"/>
          <w:lang w:val="en-US"/>
        </w:rPr>
        <w:t xml:space="preserve"> it</w:t>
      </w:r>
      <w:r w:rsidR="00A750B3" w:rsidRPr="00004507">
        <w:rPr>
          <w:rFonts w:ascii="Arial" w:hAnsi="Arial" w:cs="Arial"/>
          <w:color w:val="000000" w:themeColor="text1"/>
          <w:spacing w:val="2"/>
          <w:shd w:val="clear" w:color="auto" w:fill="FCFCFC"/>
          <w:lang w:val="en-US"/>
        </w:rPr>
        <w:t xml:space="preserve"> (</w:t>
      </w:r>
      <w:r w:rsidR="00A750B3" w:rsidRPr="00004507">
        <w:rPr>
          <w:rStyle w:val="Vurgu"/>
          <w:rFonts w:ascii="Arial" w:hAnsi="Arial" w:cs="Arial"/>
          <w:i w:val="0"/>
          <w:color w:val="000000" w:themeColor="text1"/>
          <w:spacing w:val="2"/>
          <w:shd w:val="clear" w:color="auto" w:fill="FCFCFC"/>
          <w:lang w:val="en-US"/>
        </w:rPr>
        <w:t>P</w:t>
      </w:r>
      <w:r w:rsidR="006E2148" w:rsidRPr="00004507">
        <w:rPr>
          <w:rStyle w:val="Vurgu"/>
          <w:rFonts w:ascii="Arial" w:hAnsi="Arial" w:cs="Arial"/>
          <w:i w:val="0"/>
          <w:color w:val="000000" w:themeColor="text1"/>
          <w:spacing w:val="2"/>
          <w:shd w:val="clear" w:color="auto" w:fill="FCFCFC"/>
          <w:lang w:val="en-US"/>
        </w:rPr>
        <w:t xml:space="preserve"> </w:t>
      </w:r>
      <w:r w:rsidR="00A750B3" w:rsidRPr="00004507">
        <w:rPr>
          <w:rFonts w:ascii="Arial" w:hAnsi="Arial" w:cs="Arial"/>
          <w:color w:val="000000" w:themeColor="text1"/>
          <w:spacing w:val="2"/>
          <w:shd w:val="clear" w:color="auto" w:fill="FCFCFC"/>
          <w:lang w:val="en-US"/>
        </w:rPr>
        <w:t>=</w:t>
      </w:r>
      <w:r w:rsidR="006E2148" w:rsidRPr="00004507">
        <w:rPr>
          <w:rFonts w:ascii="Arial" w:hAnsi="Arial" w:cs="Arial"/>
          <w:color w:val="000000" w:themeColor="text1"/>
          <w:spacing w:val="2"/>
          <w:shd w:val="clear" w:color="auto" w:fill="FCFCFC"/>
          <w:lang w:val="en-US"/>
        </w:rPr>
        <w:t xml:space="preserve"> </w:t>
      </w:r>
      <w:r w:rsidR="00A750B3" w:rsidRPr="00004507">
        <w:rPr>
          <w:rFonts w:ascii="Arial" w:hAnsi="Arial" w:cs="Arial"/>
          <w:color w:val="000000" w:themeColor="text1"/>
          <w:spacing w:val="2"/>
          <w:shd w:val="clear" w:color="auto" w:fill="FCFCFC"/>
          <w:lang w:val="en-US"/>
        </w:rPr>
        <w:t xml:space="preserve">0.006) </w:t>
      </w:r>
      <w:r w:rsidR="007674E2" w:rsidRPr="00004507">
        <w:rPr>
          <w:rFonts w:ascii="Arial" w:hAnsi="Arial" w:cs="Arial"/>
          <w:color w:val="000000" w:themeColor="text1"/>
          <w:spacing w:val="2"/>
          <w:shd w:val="clear" w:color="auto" w:fill="FCFCFC"/>
          <w:lang w:val="en-US"/>
        </w:rPr>
        <w:t>[5</w:t>
      </w:r>
      <w:r w:rsidR="008C7FBA">
        <w:rPr>
          <w:rFonts w:ascii="Arial" w:hAnsi="Arial" w:cs="Arial"/>
          <w:color w:val="000000" w:themeColor="text1"/>
          <w:spacing w:val="2"/>
          <w:shd w:val="clear" w:color="auto" w:fill="FCFCFC"/>
          <w:lang w:val="en-US"/>
        </w:rPr>
        <w:t>8</w:t>
      </w:r>
      <w:r w:rsidR="00B66978" w:rsidRPr="00004507">
        <w:rPr>
          <w:rFonts w:ascii="Arial" w:hAnsi="Arial" w:cs="Arial"/>
          <w:color w:val="000000" w:themeColor="text1"/>
          <w:spacing w:val="2"/>
          <w:shd w:val="clear" w:color="auto" w:fill="FCFCFC"/>
          <w:lang w:val="en-US"/>
        </w:rPr>
        <w:t>]</w:t>
      </w:r>
      <w:r w:rsidR="00A750B3" w:rsidRPr="00004507">
        <w:rPr>
          <w:rFonts w:ascii="Arial" w:hAnsi="Arial" w:cs="Arial"/>
          <w:color w:val="000000" w:themeColor="text1"/>
          <w:spacing w:val="2"/>
          <w:shd w:val="clear" w:color="auto" w:fill="FCFCFC"/>
          <w:lang w:val="en-US"/>
        </w:rPr>
        <w:t xml:space="preserve">. </w:t>
      </w:r>
    </w:p>
    <w:p w14:paraId="4A83736B" w14:textId="4829410F" w:rsidR="00A750B3" w:rsidRPr="00004507" w:rsidRDefault="00A750B3" w:rsidP="00C15EA2">
      <w:pPr>
        <w:spacing w:after="240" w:line="276" w:lineRule="auto"/>
        <w:jc w:val="both"/>
        <w:rPr>
          <w:rFonts w:ascii="Arial" w:hAnsi="Arial" w:cs="Arial"/>
          <w:color w:val="000000" w:themeColor="text1"/>
          <w:szCs w:val="20"/>
          <w:lang w:val="en-US"/>
        </w:rPr>
      </w:pPr>
      <w:r w:rsidRPr="00004507">
        <w:rPr>
          <w:rFonts w:ascii="Arial" w:hAnsi="Arial" w:cs="Arial"/>
          <w:color w:val="000000" w:themeColor="text1"/>
          <w:lang w:val="en-US"/>
        </w:rPr>
        <w:t>We also analyz</w:t>
      </w:r>
      <w:r w:rsidR="00C221C7" w:rsidRPr="00004507">
        <w:rPr>
          <w:rFonts w:ascii="Arial" w:hAnsi="Arial" w:cs="Arial"/>
          <w:color w:val="000000" w:themeColor="text1"/>
          <w:lang w:val="en-US"/>
        </w:rPr>
        <w:t xml:space="preserve">ed the relationship between </w:t>
      </w:r>
      <w:r w:rsidRPr="00004507">
        <w:rPr>
          <w:rFonts w:ascii="Arial" w:hAnsi="Arial" w:cs="Arial"/>
          <w:color w:val="000000" w:themeColor="text1"/>
          <w:lang w:val="en-US"/>
        </w:rPr>
        <w:t>PO</w:t>
      </w:r>
      <w:r w:rsidR="00C221C7" w:rsidRPr="00004507">
        <w:rPr>
          <w:rFonts w:ascii="Arial" w:hAnsi="Arial" w:cs="Arial"/>
          <w:color w:val="000000" w:themeColor="text1"/>
          <w:lang w:val="en-US"/>
        </w:rPr>
        <w:t xml:space="preserve">N1 genetic </w:t>
      </w:r>
      <w:r w:rsidR="004857C5">
        <w:rPr>
          <w:rFonts w:ascii="Arial" w:hAnsi="Arial" w:cs="Arial"/>
          <w:color w:val="000000" w:themeColor="text1"/>
          <w:lang w:val="en-US"/>
        </w:rPr>
        <w:t>variation</w:t>
      </w:r>
      <w:r w:rsidR="00C221C7" w:rsidRPr="00004507">
        <w:rPr>
          <w:rFonts w:ascii="Arial" w:hAnsi="Arial" w:cs="Arial"/>
          <w:color w:val="000000" w:themeColor="text1"/>
          <w:lang w:val="en-US"/>
        </w:rPr>
        <w:t>s and</w:t>
      </w:r>
      <w:r w:rsidRPr="00004507">
        <w:rPr>
          <w:rFonts w:ascii="Arial" w:hAnsi="Arial" w:cs="Arial"/>
          <w:color w:val="000000" w:themeColor="text1"/>
          <w:lang w:val="en-US"/>
        </w:rPr>
        <w:t xml:space="preserve"> visual clinical characteristics. Even though we did not find any association between the </w:t>
      </w:r>
      <w:r w:rsidRPr="00004507">
        <w:rPr>
          <w:rFonts w:ascii="Arial" w:hAnsi="Arial" w:cs="Arial"/>
          <w:i/>
          <w:color w:val="000000" w:themeColor="text1"/>
          <w:lang w:val="en-US"/>
        </w:rPr>
        <w:t>192Q/R</w:t>
      </w:r>
      <w:r w:rsidR="00C221C7" w:rsidRPr="00004507">
        <w:rPr>
          <w:rFonts w:ascii="Arial" w:hAnsi="Arial" w:cs="Arial"/>
          <w:color w:val="000000" w:themeColor="text1"/>
          <w:lang w:val="en-US"/>
        </w:rPr>
        <w:t xml:space="preserve"> </w:t>
      </w:r>
      <w:r w:rsidR="004857C5">
        <w:rPr>
          <w:rFonts w:ascii="Arial" w:hAnsi="Arial" w:cs="Arial"/>
          <w:color w:val="000000" w:themeColor="text1"/>
          <w:lang w:val="en-US"/>
        </w:rPr>
        <w:t>variation</w:t>
      </w:r>
      <w:r w:rsidR="00C221C7" w:rsidRPr="00004507">
        <w:rPr>
          <w:rFonts w:ascii="Arial" w:hAnsi="Arial" w:cs="Arial"/>
          <w:color w:val="000000" w:themeColor="text1"/>
          <w:lang w:val="en-US"/>
        </w:rPr>
        <w:t xml:space="preserve"> and</w:t>
      </w:r>
      <w:r w:rsidRPr="00004507">
        <w:rPr>
          <w:rFonts w:ascii="Arial" w:hAnsi="Arial" w:cs="Arial"/>
          <w:color w:val="000000" w:themeColor="text1"/>
          <w:lang w:val="en-US"/>
        </w:rPr>
        <w:t xml:space="preserve"> visual clinical characteristics, PEX patients </w:t>
      </w:r>
      <w:r w:rsidR="00C221C7" w:rsidRPr="00004507">
        <w:rPr>
          <w:rFonts w:ascii="Arial" w:hAnsi="Arial" w:cs="Arial"/>
          <w:color w:val="000000" w:themeColor="text1"/>
          <w:lang w:val="en-US"/>
        </w:rPr>
        <w:t>with a</w:t>
      </w:r>
      <w:r w:rsidRPr="00004507">
        <w:rPr>
          <w:rFonts w:ascii="Arial" w:hAnsi="Arial" w:cs="Arial"/>
          <w:color w:val="000000" w:themeColor="text1"/>
          <w:lang w:val="en-US"/>
        </w:rPr>
        <w:t xml:space="preserve">t least one </w:t>
      </w:r>
      <w:r w:rsidR="00054321" w:rsidRPr="00004507">
        <w:rPr>
          <w:rFonts w:ascii="Arial" w:hAnsi="Arial" w:cs="Arial"/>
          <w:i/>
          <w:color w:val="000000" w:themeColor="text1"/>
          <w:lang w:val="en-US"/>
        </w:rPr>
        <w:t>−</w:t>
      </w:r>
      <w:r w:rsidRPr="00004507">
        <w:rPr>
          <w:rFonts w:ascii="Arial" w:hAnsi="Arial" w:cs="Arial"/>
          <w:i/>
          <w:color w:val="000000" w:themeColor="text1"/>
          <w:lang w:val="en-US"/>
        </w:rPr>
        <w:t>107C</w:t>
      </w:r>
      <w:r w:rsidRPr="00004507">
        <w:rPr>
          <w:rFonts w:ascii="Arial" w:hAnsi="Arial" w:cs="Arial"/>
          <w:color w:val="000000" w:themeColor="text1"/>
          <w:lang w:val="en-US"/>
        </w:rPr>
        <w:t xml:space="preserve"> allele </w:t>
      </w:r>
      <w:r w:rsidR="00C221C7" w:rsidRPr="00004507">
        <w:rPr>
          <w:rFonts w:ascii="Arial" w:hAnsi="Arial" w:cs="Arial"/>
          <w:color w:val="000000" w:themeColor="text1"/>
          <w:lang w:val="en-US"/>
        </w:rPr>
        <w:t>had</w:t>
      </w:r>
      <w:r w:rsidRPr="00004507">
        <w:rPr>
          <w:rFonts w:ascii="Arial" w:hAnsi="Arial" w:cs="Arial"/>
          <w:color w:val="000000" w:themeColor="text1"/>
          <w:lang w:val="en-US"/>
        </w:rPr>
        <w:t xml:space="preserve"> higher PSD scores. Moreover, PSD was correlated with </w:t>
      </w:r>
      <w:r w:rsidR="0043531C" w:rsidRPr="00004507">
        <w:rPr>
          <w:rFonts w:ascii="Arial" w:hAnsi="Arial" w:cs="Arial"/>
          <w:color w:val="000000" w:themeColor="text1"/>
          <w:lang w:val="en-US"/>
        </w:rPr>
        <w:t>the</w:t>
      </w:r>
      <w:r w:rsidRPr="00004507">
        <w:rPr>
          <w:rFonts w:ascii="Arial" w:hAnsi="Arial" w:cs="Arial"/>
          <w:color w:val="000000" w:themeColor="text1"/>
          <w:lang w:val="en-US"/>
        </w:rPr>
        <w:t xml:space="preserve"> </w:t>
      </w:r>
      <w:r w:rsidR="00054321" w:rsidRPr="00004507">
        <w:rPr>
          <w:rFonts w:ascii="Arial" w:hAnsi="Arial" w:cs="Arial"/>
          <w:i/>
          <w:color w:val="000000" w:themeColor="text1"/>
          <w:lang w:val="en-US"/>
        </w:rPr>
        <w:t>−</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genotypes </w:t>
      </w:r>
      <w:r w:rsidR="00597736" w:rsidRPr="00004507">
        <w:rPr>
          <w:rFonts w:ascii="Arial" w:hAnsi="Arial" w:cs="Arial"/>
          <w:color w:val="000000" w:themeColor="text1"/>
          <w:lang w:val="en-US"/>
        </w:rPr>
        <w:t>of the</w:t>
      </w:r>
      <w:r w:rsidR="0043531C" w:rsidRPr="00004507">
        <w:rPr>
          <w:rFonts w:ascii="Arial" w:hAnsi="Arial" w:cs="Arial"/>
          <w:color w:val="000000" w:themeColor="text1"/>
          <w:lang w:val="en-US"/>
        </w:rPr>
        <w:t xml:space="preserve"> </w:t>
      </w:r>
      <w:r w:rsidRPr="00004507">
        <w:rPr>
          <w:rFonts w:ascii="Arial" w:hAnsi="Arial" w:cs="Arial"/>
          <w:color w:val="000000" w:themeColor="text1"/>
          <w:lang w:val="en-US"/>
        </w:rPr>
        <w:t>PEX patients</w:t>
      </w:r>
      <w:r w:rsidR="0043531C" w:rsidRPr="00004507">
        <w:rPr>
          <w:rFonts w:ascii="Arial" w:hAnsi="Arial" w:cs="Arial"/>
          <w:color w:val="000000" w:themeColor="text1"/>
          <w:lang w:val="en-US"/>
        </w:rPr>
        <w:t xml:space="preserve"> and MD was correlated with the</w:t>
      </w:r>
      <w:r w:rsidR="00054321" w:rsidRPr="00004507">
        <w:rPr>
          <w:rFonts w:ascii="Arial" w:hAnsi="Arial" w:cs="Arial"/>
          <w:color w:val="000000" w:themeColor="text1"/>
          <w:lang w:val="en-US"/>
        </w:rPr>
        <w:t xml:space="preserve"> −</w:t>
      </w:r>
      <w:r w:rsidRPr="00004507">
        <w:rPr>
          <w:rFonts w:ascii="Arial" w:hAnsi="Arial" w:cs="Arial"/>
          <w:i/>
          <w:color w:val="000000" w:themeColor="text1"/>
          <w:lang w:val="en-US"/>
        </w:rPr>
        <w:t>107T/C</w:t>
      </w:r>
      <w:r w:rsidRPr="00004507">
        <w:rPr>
          <w:rFonts w:ascii="Arial" w:hAnsi="Arial" w:cs="Arial"/>
          <w:color w:val="000000" w:themeColor="text1"/>
          <w:lang w:val="en-US"/>
        </w:rPr>
        <w:t xml:space="preserve"> genotypes </w:t>
      </w:r>
      <w:r w:rsidR="00597736" w:rsidRPr="00004507">
        <w:rPr>
          <w:rFonts w:ascii="Arial" w:hAnsi="Arial" w:cs="Arial"/>
          <w:color w:val="000000" w:themeColor="text1"/>
          <w:lang w:val="en-US"/>
        </w:rPr>
        <w:t>of</w:t>
      </w:r>
      <w:r w:rsidRPr="00004507">
        <w:rPr>
          <w:rFonts w:ascii="Arial" w:hAnsi="Arial" w:cs="Arial"/>
          <w:color w:val="000000" w:themeColor="text1"/>
          <w:lang w:val="en-US"/>
        </w:rPr>
        <w:t xml:space="preserve"> the controls. </w:t>
      </w:r>
      <w:r w:rsidR="00597736" w:rsidRPr="00004507">
        <w:rPr>
          <w:rFonts w:ascii="Arial" w:hAnsi="Arial" w:cs="Arial"/>
          <w:color w:val="000000" w:themeColor="text1"/>
          <w:lang w:val="en-US"/>
        </w:rPr>
        <w:t>Furthermore</w:t>
      </w:r>
      <w:r w:rsidRPr="00004507">
        <w:rPr>
          <w:rFonts w:ascii="Arial" w:hAnsi="Arial" w:cs="Arial"/>
          <w:color w:val="000000" w:themeColor="text1"/>
          <w:lang w:val="en-US"/>
        </w:rPr>
        <w:t xml:space="preserve">, having at </w:t>
      </w:r>
      <w:r w:rsidRPr="00004507">
        <w:rPr>
          <w:rFonts w:ascii="Arial" w:hAnsi="Arial" w:cs="Arial"/>
          <w:color w:val="000000" w:themeColor="text1"/>
          <w:lang w:val="en-US"/>
        </w:rPr>
        <w:lastRenderedPageBreak/>
        <w:t xml:space="preserve">least one </w:t>
      </w:r>
      <w:r w:rsidRPr="00004507">
        <w:rPr>
          <w:rFonts w:ascii="Arial" w:hAnsi="Arial" w:cs="Arial"/>
          <w:i/>
          <w:color w:val="000000" w:themeColor="text1"/>
          <w:lang w:val="en-US"/>
        </w:rPr>
        <w:t>55M</w:t>
      </w:r>
      <w:r w:rsidRPr="00004507">
        <w:rPr>
          <w:rFonts w:ascii="Arial" w:hAnsi="Arial" w:cs="Arial"/>
          <w:color w:val="000000" w:themeColor="text1"/>
          <w:lang w:val="en-US"/>
        </w:rPr>
        <w:t xml:space="preserve"> allele </w:t>
      </w:r>
      <w:r w:rsidR="00597736" w:rsidRPr="00004507">
        <w:rPr>
          <w:rFonts w:ascii="Arial" w:hAnsi="Arial" w:cs="Arial"/>
          <w:color w:val="000000" w:themeColor="text1"/>
          <w:lang w:val="en-US"/>
        </w:rPr>
        <w:t xml:space="preserve">was associated with lower </w:t>
      </w:r>
      <w:r w:rsidRPr="00004507">
        <w:rPr>
          <w:rFonts w:ascii="Arial" w:hAnsi="Arial" w:cs="Arial"/>
          <w:color w:val="000000" w:themeColor="text1"/>
          <w:lang w:val="en-US"/>
        </w:rPr>
        <w:t>IOP</w:t>
      </w:r>
      <w:r w:rsidR="00597736" w:rsidRPr="00004507">
        <w:rPr>
          <w:rFonts w:ascii="Arial" w:hAnsi="Arial" w:cs="Arial"/>
          <w:color w:val="000000" w:themeColor="text1"/>
          <w:lang w:val="en-US"/>
        </w:rPr>
        <w:t>,</w:t>
      </w:r>
      <w:r w:rsidRPr="00004507">
        <w:rPr>
          <w:rFonts w:ascii="Arial" w:hAnsi="Arial" w:cs="Arial"/>
          <w:color w:val="000000" w:themeColor="text1"/>
          <w:lang w:val="en-US"/>
        </w:rPr>
        <w:t xml:space="preserve"> and IOP was</w:t>
      </w:r>
      <w:r w:rsidR="00AE0F1C" w:rsidRPr="00004507">
        <w:rPr>
          <w:rFonts w:ascii="Arial" w:hAnsi="Arial" w:cs="Arial"/>
          <w:color w:val="000000" w:themeColor="text1"/>
          <w:lang w:val="en-US"/>
        </w:rPr>
        <w:t xml:space="preserve"> negatively correlated with</w:t>
      </w:r>
      <w:r w:rsidRPr="00004507">
        <w:rPr>
          <w:rFonts w:ascii="Arial" w:hAnsi="Arial" w:cs="Arial"/>
          <w:color w:val="000000" w:themeColor="text1"/>
          <w:lang w:val="en-US"/>
        </w:rPr>
        <w:t xml:space="preserve"> </w:t>
      </w:r>
      <w:r w:rsidR="00597736" w:rsidRPr="00004507">
        <w:rPr>
          <w:rFonts w:ascii="Arial" w:hAnsi="Arial" w:cs="Arial"/>
          <w:color w:val="000000" w:themeColor="text1"/>
          <w:lang w:val="en-US"/>
        </w:rPr>
        <w:t xml:space="preserve">the </w:t>
      </w:r>
      <w:r w:rsidRPr="00004507">
        <w:rPr>
          <w:rFonts w:ascii="Arial" w:hAnsi="Arial" w:cs="Arial"/>
          <w:i/>
          <w:color w:val="000000" w:themeColor="text1"/>
          <w:lang w:val="en-US"/>
        </w:rPr>
        <w:t>55L/M</w:t>
      </w:r>
      <w:r w:rsidR="00597736" w:rsidRPr="00004507">
        <w:rPr>
          <w:rFonts w:ascii="Arial" w:hAnsi="Arial" w:cs="Arial"/>
          <w:color w:val="000000" w:themeColor="text1"/>
          <w:lang w:val="en-US"/>
        </w:rPr>
        <w:t xml:space="preserve"> genotypes of</w:t>
      </w:r>
      <w:r w:rsidR="00021CD2" w:rsidRPr="00004507">
        <w:rPr>
          <w:rFonts w:ascii="Arial" w:hAnsi="Arial" w:cs="Arial"/>
          <w:color w:val="000000" w:themeColor="text1"/>
          <w:lang w:val="en-US"/>
        </w:rPr>
        <w:t xml:space="preserve"> the controls. This finding may</w:t>
      </w:r>
      <w:r w:rsidRPr="00004507">
        <w:rPr>
          <w:rFonts w:ascii="Arial" w:hAnsi="Arial" w:cs="Arial"/>
          <w:color w:val="000000" w:themeColor="text1"/>
          <w:lang w:val="en-US"/>
        </w:rPr>
        <w:t xml:space="preserve"> be due to the </w:t>
      </w:r>
      <w:r w:rsidR="00021CD2" w:rsidRPr="00004507">
        <w:rPr>
          <w:rFonts w:ascii="Arial" w:hAnsi="Arial" w:cs="Arial"/>
          <w:color w:val="000000" w:themeColor="text1"/>
          <w:lang w:val="en-US"/>
        </w:rPr>
        <w:t xml:space="preserve">association of the </w:t>
      </w:r>
      <w:r w:rsidRPr="00004507">
        <w:rPr>
          <w:rFonts w:ascii="Arial" w:hAnsi="Arial" w:cs="Arial"/>
          <w:i/>
          <w:color w:val="000000" w:themeColor="text1"/>
          <w:lang w:val="en-US"/>
        </w:rPr>
        <w:t>55M</w:t>
      </w:r>
      <w:r w:rsidRPr="00004507">
        <w:rPr>
          <w:rFonts w:ascii="Arial" w:hAnsi="Arial" w:cs="Arial"/>
          <w:color w:val="000000" w:themeColor="text1"/>
          <w:lang w:val="en-US"/>
        </w:rPr>
        <w:t xml:space="preserve"> allele of </w:t>
      </w:r>
      <w:r w:rsidRPr="00004507">
        <w:rPr>
          <w:rFonts w:ascii="Arial" w:hAnsi="Arial" w:cs="Arial"/>
          <w:i/>
          <w:color w:val="000000" w:themeColor="text1"/>
          <w:lang w:val="en-US"/>
        </w:rPr>
        <w:t>PON1</w:t>
      </w:r>
      <w:r w:rsidRPr="00004507">
        <w:rPr>
          <w:rFonts w:ascii="Arial" w:hAnsi="Arial" w:cs="Arial"/>
          <w:color w:val="000000" w:themeColor="text1"/>
          <w:lang w:val="en-US"/>
        </w:rPr>
        <w:t xml:space="preserve"> with the greatest protective capacity against LDL oxidation, and </w:t>
      </w:r>
      <w:r w:rsidR="00021CD2" w:rsidRPr="00004507">
        <w:rPr>
          <w:rFonts w:ascii="Arial" w:hAnsi="Arial" w:cs="Arial"/>
          <w:color w:val="000000" w:themeColor="text1"/>
          <w:lang w:val="en-US"/>
        </w:rPr>
        <w:t xml:space="preserve">the association of </w:t>
      </w:r>
      <w:r w:rsidRPr="00004507">
        <w:rPr>
          <w:rFonts w:ascii="Arial" w:hAnsi="Arial" w:cs="Arial"/>
          <w:i/>
          <w:color w:val="000000" w:themeColor="text1"/>
          <w:lang w:val="en-US"/>
        </w:rPr>
        <w:t>55L</w:t>
      </w:r>
      <w:r w:rsidRPr="00004507">
        <w:rPr>
          <w:rFonts w:ascii="Arial" w:hAnsi="Arial" w:cs="Arial"/>
          <w:color w:val="000000" w:themeColor="text1"/>
          <w:lang w:val="en-US"/>
        </w:rPr>
        <w:t xml:space="preserve"> </w:t>
      </w:r>
      <w:r w:rsidR="00021CD2" w:rsidRPr="00004507">
        <w:rPr>
          <w:rFonts w:ascii="Arial" w:hAnsi="Arial" w:cs="Arial"/>
          <w:color w:val="000000" w:themeColor="text1"/>
          <w:lang w:val="en-US"/>
        </w:rPr>
        <w:t>with t</w:t>
      </w:r>
      <w:r w:rsidRPr="00004507">
        <w:rPr>
          <w:rFonts w:ascii="Arial" w:hAnsi="Arial" w:cs="Arial"/>
          <w:color w:val="000000" w:themeColor="text1"/>
          <w:lang w:val="en-US"/>
        </w:rPr>
        <w:t xml:space="preserve">he lowest </w:t>
      </w:r>
      <w:r w:rsidR="007674E2" w:rsidRPr="00004507">
        <w:rPr>
          <w:rFonts w:ascii="Arial" w:hAnsi="Arial" w:cs="Arial"/>
          <w:color w:val="000000" w:themeColor="text1"/>
          <w:lang w:val="en-US"/>
        </w:rPr>
        <w:t>[48</w:t>
      </w:r>
      <w:r w:rsidR="00994AD6" w:rsidRPr="00004507">
        <w:rPr>
          <w:rFonts w:ascii="Arial" w:hAnsi="Arial" w:cs="Arial"/>
          <w:color w:val="000000" w:themeColor="text1"/>
          <w:lang w:val="en-US"/>
        </w:rPr>
        <w:t>]</w:t>
      </w:r>
      <w:r w:rsidRPr="00004507">
        <w:rPr>
          <w:rFonts w:ascii="Arial" w:hAnsi="Arial" w:cs="Arial"/>
          <w:color w:val="000000" w:themeColor="text1"/>
          <w:lang w:val="en-US"/>
        </w:rPr>
        <w:t xml:space="preserve">. On the other hand, we did not observe any allele to be overrepresented </w:t>
      </w:r>
      <w:r w:rsidR="00E5597D" w:rsidRPr="00004507">
        <w:rPr>
          <w:rFonts w:ascii="Arial" w:hAnsi="Arial" w:cs="Arial"/>
          <w:color w:val="000000" w:themeColor="text1"/>
          <w:lang w:val="en-US"/>
        </w:rPr>
        <w:t>according to</w:t>
      </w:r>
      <w:r w:rsidRPr="00004507">
        <w:rPr>
          <w:rFonts w:ascii="Arial" w:hAnsi="Arial" w:cs="Arial"/>
          <w:color w:val="000000" w:themeColor="text1"/>
          <w:lang w:val="en-US"/>
        </w:rPr>
        <w:t xml:space="preserve"> visual field severity stage</w:t>
      </w:r>
      <w:r w:rsidR="00E5597D" w:rsidRPr="00004507">
        <w:rPr>
          <w:rFonts w:ascii="Arial" w:hAnsi="Arial" w:cs="Arial"/>
          <w:color w:val="000000" w:themeColor="text1"/>
          <w:lang w:val="en-US"/>
        </w:rPr>
        <w:t>;</w:t>
      </w:r>
      <w:r w:rsidRPr="00004507">
        <w:rPr>
          <w:rFonts w:ascii="Arial" w:hAnsi="Arial" w:cs="Arial"/>
          <w:color w:val="000000" w:themeColor="text1"/>
          <w:lang w:val="en-US"/>
        </w:rPr>
        <w:t xml:space="preserve"> in other words, VFS was not associated with</w:t>
      </w:r>
      <w:r w:rsidR="00E5597D" w:rsidRPr="00004507">
        <w:rPr>
          <w:rFonts w:ascii="Arial" w:hAnsi="Arial" w:cs="Arial"/>
          <w:color w:val="000000" w:themeColor="text1"/>
          <w:lang w:val="en-US"/>
        </w:rPr>
        <w:t xml:space="preserve"> the</w:t>
      </w:r>
      <w:r w:rsidRPr="00004507">
        <w:rPr>
          <w:rFonts w:ascii="Arial" w:hAnsi="Arial" w:cs="Arial"/>
          <w:color w:val="000000" w:themeColor="text1"/>
          <w:lang w:val="en-US"/>
        </w:rPr>
        <w:t xml:space="preserve"> </w:t>
      </w:r>
      <w:r w:rsidRPr="00004507">
        <w:rPr>
          <w:rFonts w:ascii="Arial" w:hAnsi="Arial" w:cs="Arial"/>
          <w:i/>
          <w:color w:val="000000" w:themeColor="text1"/>
          <w:lang w:val="en-US"/>
        </w:rPr>
        <w:t>PON1</w:t>
      </w:r>
      <w:r w:rsidRPr="00004507">
        <w:rPr>
          <w:rFonts w:ascii="Arial" w:hAnsi="Arial" w:cs="Arial"/>
          <w:color w:val="000000" w:themeColor="text1"/>
          <w:lang w:val="en-US"/>
        </w:rPr>
        <w:t xml:space="preserve"> </w:t>
      </w:r>
      <w:r w:rsidR="00077403">
        <w:rPr>
          <w:rFonts w:ascii="Arial" w:hAnsi="Arial" w:cs="Arial"/>
          <w:color w:val="000000" w:themeColor="text1"/>
          <w:lang w:val="en-US"/>
        </w:rPr>
        <w:t>variants</w:t>
      </w:r>
      <w:r w:rsidRPr="00004507">
        <w:rPr>
          <w:rFonts w:ascii="Arial" w:hAnsi="Arial" w:cs="Arial"/>
          <w:color w:val="000000" w:themeColor="text1"/>
          <w:lang w:val="en-US"/>
        </w:rPr>
        <w:t xml:space="preserve">. </w:t>
      </w:r>
      <w:r w:rsidRPr="00004507">
        <w:rPr>
          <w:rFonts w:ascii="Arial" w:hAnsi="Arial" w:cs="Arial"/>
          <w:color w:val="000000" w:themeColor="text1"/>
          <w:szCs w:val="20"/>
          <w:lang w:val="en-US"/>
        </w:rPr>
        <w:t xml:space="preserve">The inconsistency of </w:t>
      </w:r>
      <w:r w:rsidR="00735E48" w:rsidRPr="00004507">
        <w:rPr>
          <w:rFonts w:ascii="Arial" w:hAnsi="Arial" w:cs="Arial"/>
          <w:color w:val="000000" w:themeColor="text1"/>
          <w:szCs w:val="20"/>
          <w:lang w:val="en-US"/>
        </w:rPr>
        <w:t xml:space="preserve">our findings </w:t>
      </w:r>
      <w:r w:rsidRPr="00004507">
        <w:rPr>
          <w:rFonts w:ascii="Arial" w:hAnsi="Arial" w:cs="Arial"/>
          <w:color w:val="000000" w:themeColor="text1"/>
          <w:szCs w:val="20"/>
          <w:lang w:val="en-US"/>
        </w:rPr>
        <w:t>with th</w:t>
      </w:r>
      <w:r w:rsidR="00735E48" w:rsidRPr="00004507">
        <w:rPr>
          <w:rFonts w:ascii="Arial" w:hAnsi="Arial" w:cs="Arial"/>
          <w:color w:val="000000" w:themeColor="text1"/>
          <w:szCs w:val="20"/>
          <w:lang w:val="en-US"/>
        </w:rPr>
        <w:t xml:space="preserve">ose </w:t>
      </w:r>
      <w:r w:rsidRPr="00004507">
        <w:rPr>
          <w:rFonts w:ascii="Arial" w:hAnsi="Arial" w:cs="Arial"/>
          <w:color w:val="000000" w:themeColor="text1"/>
          <w:szCs w:val="20"/>
          <w:lang w:val="en-US"/>
        </w:rPr>
        <w:t xml:space="preserve">of </w:t>
      </w:r>
      <w:r w:rsidRPr="00004507">
        <w:rPr>
          <w:rFonts w:ascii="Arial" w:hAnsi="Arial" w:cs="Arial"/>
          <w:color w:val="000000" w:themeColor="text1"/>
          <w:spacing w:val="2"/>
          <w:shd w:val="clear" w:color="auto" w:fill="FCFCFC"/>
          <w:lang w:val="en-US"/>
        </w:rPr>
        <w:t xml:space="preserve">Inagaki et al. </w:t>
      </w:r>
      <w:r w:rsidR="007674E2" w:rsidRPr="00004507">
        <w:rPr>
          <w:rFonts w:ascii="Arial" w:hAnsi="Arial" w:cs="Arial"/>
          <w:color w:val="000000" w:themeColor="text1"/>
          <w:spacing w:val="2"/>
          <w:shd w:val="clear" w:color="auto" w:fill="FCFCFC"/>
          <w:lang w:val="en-US"/>
        </w:rPr>
        <w:t>[5</w:t>
      </w:r>
      <w:r w:rsidR="008C7FBA">
        <w:rPr>
          <w:rFonts w:ascii="Arial" w:hAnsi="Arial" w:cs="Arial"/>
          <w:color w:val="000000" w:themeColor="text1"/>
          <w:spacing w:val="2"/>
          <w:shd w:val="clear" w:color="auto" w:fill="FCFCFC"/>
          <w:lang w:val="en-US"/>
        </w:rPr>
        <w:t>8</w:t>
      </w:r>
      <w:r w:rsidR="00B66978" w:rsidRPr="00004507">
        <w:rPr>
          <w:rFonts w:ascii="Arial" w:hAnsi="Arial" w:cs="Arial"/>
          <w:color w:val="000000" w:themeColor="text1"/>
          <w:spacing w:val="2"/>
          <w:shd w:val="clear" w:color="auto" w:fill="FCFCFC"/>
          <w:lang w:val="en-US"/>
        </w:rPr>
        <w:t>]</w:t>
      </w:r>
      <w:r w:rsidRPr="00004507">
        <w:rPr>
          <w:rFonts w:ascii="Arial" w:hAnsi="Arial" w:cs="Arial"/>
          <w:color w:val="000000" w:themeColor="text1"/>
          <w:spacing w:val="2"/>
          <w:shd w:val="clear" w:color="auto" w:fill="FCFCFC"/>
          <w:lang w:val="en-US"/>
        </w:rPr>
        <w:t xml:space="preserve"> and </w:t>
      </w:r>
      <w:r w:rsidR="00994AD6" w:rsidRPr="00004507">
        <w:rPr>
          <w:rFonts w:ascii="Arial" w:hAnsi="Arial" w:cs="Arial"/>
          <w:color w:val="000000" w:themeColor="text1"/>
          <w:shd w:val="clear" w:color="auto" w:fill="FFFFFF"/>
          <w:lang w:val="en-US"/>
        </w:rPr>
        <w:t>Zhou and Liu</w:t>
      </w:r>
      <w:r w:rsidR="00543A69" w:rsidRPr="00004507">
        <w:rPr>
          <w:rFonts w:ascii="Arial" w:hAnsi="Arial" w:cs="Arial"/>
          <w:color w:val="000000" w:themeColor="text1"/>
          <w:shd w:val="clear" w:color="auto" w:fill="FFFFFF"/>
          <w:lang w:val="en-US"/>
        </w:rPr>
        <w:t xml:space="preserve"> [5</w:t>
      </w:r>
      <w:r w:rsidR="008C7FBA">
        <w:rPr>
          <w:rFonts w:ascii="Arial" w:hAnsi="Arial" w:cs="Arial"/>
          <w:color w:val="000000" w:themeColor="text1"/>
          <w:shd w:val="clear" w:color="auto" w:fill="FFFFFF"/>
          <w:lang w:val="en-US"/>
        </w:rPr>
        <w:t>7</w:t>
      </w:r>
      <w:r w:rsidR="002A62C8"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w:t>
      </w:r>
      <w:r w:rsidRPr="00004507">
        <w:rPr>
          <w:rFonts w:ascii="Arial" w:hAnsi="Arial" w:cs="Arial"/>
          <w:color w:val="000000" w:themeColor="text1"/>
          <w:szCs w:val="20"/>
          <w:lang w:val="en-US"/>
        </w:rPr>
        <w:t xml:space="preserve">might be due to differences in the pathogenesis of PEX/PEG and </w:t>
      </w:r>
      <w:r w:rsidR="00735E48" w:rsidRPr="00004507">
        <w:rPr>
          <w:rFonts w:ascii="Arial" w:hAnsi="Arial" w:cs="Arial"/>
          <w:color w:val="000000" w:themeColor="text1"/>
          <w:szCs w:val="20"/>
          <w:lang w:val="en-US"/>
        </w:rPr>
        <w:t>open angle glaucoma, as well as</w:t>
      </w:r>
      <w:r w:rsidRPr="00004507">
        <w:rPr>
          <w:rFonts w:ascii="Arial" w:hAnsi="Arial" w:cs="Arial"/>
          <w:color w:val="000000" w:themeColor="text1"/>
          <w:szCs w:val="20"/>
          <w:lang w:val="en-US"/>
        </w:rPr>
        <w:t xml:space="preserve"> differences in</w:t>
      </w:r>
      <w:r w:rsidR="00735E48" w:rsidRPr="00004507">
        <w:rPr>
          <w:rFonts w:ascii="Arial" w:hAnsi="Arial" w:cs="Arial"/>
          <w:color w:val="000000" w:themeColor="text1"/>
          <w:szCs w:val="20"/>
          <w:lang w:val="en-US"/>
        </w:rPr>
        <w:t xml:space="preserve"> the ethnicities and life-style (e.g., </w:t>
      </w:r>
      <w:r w:rsidRPr="00004507">
        <w:rPr>
          <w:rFonts w:ascii="Arial" w:hAnsi="Arial" w:cs="Arial"/>
          <w:color w:val="000000" w:themeColor="text1"/>
          <w:szCs w:val="20"/>
          <w:lang w:val="en-US"/>
        </w:rPr>
        <w:t>smoking, diet, exercise) of the populations studied.</w:t>
      </w:r>
    </w:p>
    <w:p w14:paraId="1ABCD0C1" w14:textId="6F8F661B" w:rsidR="00A750B3" w:rsidRPr="00004507" w:rsidRDefault="00A750B3" w:rsidP="00C15EA2">
      <w:pPr>
        <w:spacing w:after="240" w:line="276" w:lineRule="auto"/>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PEX</w:t>
      </w:r>
      <w:r w:rsidR="00B55EFC" w:rsidRPr="00004507">
        <w:rPr>
          <w:rFonts w:ascii="Arial" w:hAnsi="Arial" w:cs="Arial"/>
          <w:color w:val="000000" w:themeColor="text1"/>
          <w:spacing w:val="2"/>
          <w:shd w:val="clear" w:color="auto" w:fill="FCFCFC"/>
          <w:lang w:val="en-US"/>
        </w:rPr>
        <w:t xml:space="preserve"> is best</w:t>
      </w:r>
      <w:r w:rsidRPr="00004507">
        <w:rPr>
          <w:rFonts w:ascii="Arial" w:hAnsi="Arial" w:cs="Arial"/>
          <w:color w:val="000000" w:themeColor="text1"/>
          <w:spacing w:val="2"/>
          <w:shd w:val="clear" w:color="auto" w:fill="FCFCFC"/>
          <w:lang w:val="en-US"/>
        </w:rPr>
        <w:t xml:space="preserve"> described as a systemic disorder because p</w:t>
      </w:r>
      <w:r w:rsidRPr="00004507">
        <w:rPr>
          <w:rFonts w:ascii="Arial" w:hAnsi="Arial" w:cs="Arial"/>
          <w:color w:val="000000" w:themeColor="text1"/>
          <w:lang w:val="en-US"/>
        </w:rPr>
        <w:t>seudoexfoliation</w:t>
      </w:r>
      <w:r w:rsidRPr="00004507">
        <w:rPr>
          <w:rFonts w:ascii="Arial" w:hAnsi="Arial" w:cs="Arial"/>
          <w:color w:val="000000" w:themeColor="text1"/>
          <w:shd w:val="clear" w:color="auto" w:fill="FFFFFF"/>
          <w:lang w:val="en-US"/>
        </w:rPr>
        <w:t xml:space="preserve"> deposits have also been found in </w:t>
      </w:r>
      <w:r w:rsidRPr="00004507">
        <w:rPr>
          <w:rFonts w:ascii="Arial" w:hAnsi="Arial" w:cs="Arial"/>
          <w:color w:val="000000" w:themeColor="text1"/>
          <w:lang w:val="en-US"/>
        </w:rPr>
        <w:t xml:space="preserve">the skin, lung, heart, liver, gall bladder, kidneys and meninges </w:t>
      </w:r>
      <w:r w:rsidR="002A62C8" w:rsidRPr="00004507">
        <w:rPr>
          <w:rFonts w:ascii="Arial" w:hAnsi="Arial" w:cs="Arial"/>
          <w:color w:val="000000" w:themeColor="text1"/>
          <w:lang w:val="en-US"/>
        </w:rPr>
        <w:t>[5</w:t>
      </w:r>
      <w:r w:rsidR="000B6DD5">
        <w:rPr>
          <w:rFonts w:ascii="Arial" w:hAnsi="Arial" w:cs="Arial"/>
          <w:color w:val="000000" w:themeColor="text1"/>
          <w:lang w:val="en-US"/>
        </w:rPr>
        <w:t>9</w:t>
      </w:r>
      <w:r w:rsidR="002A62C8" w:rsidRPr="00004507">
        <w:rPr>
          <w:rFonts w:ascii="Arial" w:hAnsi="Arial" w:cs="Arial"/>
          <w:color w:val="000000" w:themeColor="text1"/>
          <w:lang w:val="en-US"/>
        </w:rPr>
        <w:t>]</w:t>
      </w:r>
      <w:r w:rsidRPr="00004507">
        <w:rPr>
          <w:rFonts w:ascii="Arial" w:hAnsi="Arial" w:cs="Arial"/>
          <w:color w:val="000000" w:themeColor="text1"/>
          <w:spacing w:val="2"/>
          <w:shd w:val="clear" w:color="auto" w:fill="FCFCFC"/>
          <w:lang w:val="en-US"/>
        </w:rPr>
        <w:t xml:space="preserve">. </w:t>
      </w:r>
      <w:r w:rsidRPr="00004507">
        <w:rPr>
          <w:rFonts w:ascii="Arial" w:hAnsi="Arial" w:cs="Arial"/>
          <w:color w:val="000000" w:themeColor="text1"/>
          <w:shd w:val="clear" w:color="auto" w:fill="FFFFFF"/>
          <w:lang w:val="en-US"/>
        </w:rPr>
        <w:t>The presence of</w:t>
      </w:r>
      <w:r w:rsidRPr="00004507">
        <w:rPr>
          <w:rFonts w:ascii="Arial" w:hAnsi="Arial" w:cs="Arial"/>
          <w:color w:val="000000" w:themeColor="text1"/>
          <w:spacing w:val="2"/>
          <w:shd w:val="clear" w:color="auto" w:fill="FCFCFC"/>
          <w:lang w:val="en-US"/>
        </w:rPr>
        <w:t xml:space="preserve"> PEX </w:t>
      </w:r>
      <w:r w:rsidR="00B55EFC" w:rsidRPr="00004507">
        <w:rPr>
          <w:rFonts w:ascii="Arial" w:hAnsi="Arial" w:cs="Arial"/>
          <w:color w:val="000000" w:themeColor="text1"/>
          <w:spacing w:val="2"/>
          <w:shd w:val="clear" w:color="auto" w:fill="FCFCFC"/>
          <w:lang w:val="en-US"/>
        </w:rPr>
        <w:t xml:space="preserve">is </w:t>
      </w:r>
      <w:r w:rsidRPr="00004507">
        <w:rPr>
          <w:rFonts w:ascii="Arial" w:hAnsi="Arial" w:cs="Arial"/>
          <w:color w:val="000000" w:themeColor="text1"/>
          <w:spacing w:val="2"/>
          <w:shd w:val="clear" w:color="auto" w:fill="FCFCFC"/>
          <w:lang w:val="en-US"/>
        </w:rPr>
        <w:t xml:space="preserve">significantly associated with a high risk of hypertension, myocardial infarction, </w:t>
      </w:r>
      <w:r w:rsidR="00B55EFC" w:rsidRPr="00004507">
        <w:rPr>
          <w:rFonts w:ascii="Arial" w:hAnsi="Arial" w:cs="Arial"/>
          <w:color w:val="000000" w:themeColor="text1"/>
          <w:shd w:val="clear" w:color="auto" w:fill="FFFFFF"/>
          <w:lang w:val="en-US"/>
        </w:rPr>
        <w:t>CAD</w:t>
      </w:r>
      <w:r w:rsidR="00B55EFC" w:rsidRPr="00004507">
        <w:rPr>
          <w:rFonts w:ascii="Arial" w:hAnsi="Arial" w:cs="Arial"/>
          <w:color w:val="000000" w:themeColor="text1"/>
          <w:spacing w:val="2"/>
          <w:shd w:val="clear" w:color="auto" w:fill="FCFCFC"/>
          <w:lang w:val="en-US"/>
        </w:rPr>
        <w:t>, and</w:t>
      </w:r>
      <w:r w:rsidRPr="00004507">
        <w:rPr>
          <w:rFonts w:ascii="Arial" w:hAnsi="Arial" w:cs="Arial"/>
          <w:color w:val="000000" w:themeColor="text1"/>
          <w:spacing w:val="2"/>
          <w:shd w:val="clear" w:color="auto" w:fill="FCFCFC"/>
          <w:lang w:val="en-US"/>
        </w:rPr>
        <w:t xml:space="preserve"> stroke</w:t>
      </w:r>
      <w:r w:rsidR="00543A69" w:rsidRPr="00004507">
        <w:rPr>
          <w:rFonts w:ascii="Arial" w:hAnsi="Arial" w:cs="Arial"/>
          <w:color w:val="000000" w:themeColor="text1"/>
          <w:spacing w:val="2"/>
          <w:shd w:val="clear" w:color="auto" w:fill="FCFCFC"/>
          <w:lang w:val="en-US"/>
        </w:rPr>
        <w:t xml:space="preserve"> [</w:t>
      </w:r>
      <w:r w:rsidR="008C7FBA">
        <w:rPr>
          <w:rFonts w:ascii="Arial" w:hAnsi="Arial" w:cs="Arial"/>
          <w:color w:val="000000" w:themeColor="text1"/>
          <w:spacing w:val="2"/>
          <w:shd w:val="clear" w:color="auto" w:fill="FCFCFC"/>
          <w:lang w:val="en-US"/>
        </w:rPr>
        <w:t>60-63</w:t>
      </w:r>
      <w:r w:rsidR="002A62C8" w:rsidRPr="00004507">
        <w:rPr>
          <w:rFonts w:ascii="Arial" w:hAnsi="Arial" w:cs="Arial"/>
          <w:color w:val="000000" w:themeColor="text1"/>
          <w:spacing w:val="2"/>
          <w:shd w:val="clear" w:color="auto" w:fill="FCFCFC"/>
          <w:lang w:val="en-US"/>
        </w:rPr>
        <w:t>]</w:t>
      </w:r>
      <w:r w:rsidRPr="00004507">
        <w:rPr>
          <w:rFonts w:ascii="Arial" w:hAnsi="Arial" w:cs="Arial"/>
          <w:color w:val="000000" w:themeColor="text1"/>
          <w:spacing w:val="2"/>
          <w:shd w:val="clear" w:color="auto" w:fill="FCFCFC"/>
          <w:lang w:val="en-US"/>
        </w:rPr>
        <w:t xml:space="preserve">. </w:t>
      </w:r>
      <w:r w:rsidRPr="00004507">
        <w:rPr>
          <w:rFonts w:ascii="Arial" w:hAnsi="Arial" w:cs="Arial"/>
          <w:color w:val="000000" w:themeColor="text1"/>
          <w:shd w:val="clear" w:color="auto" w:fill="FFFFFF"/>
          <w:lang w:val="en-US"/>
        </w:rPr>
        <w:t xml:space="preserve">Moreover, PEX patients </w:t>
      </w:r>
      <w:r w:rsidR="00B55EFC" w:rsidRPr="00004507">
        <w:rPr>
          <w:rFonts w:ascii="Arial" w:hAnsi="Arial" w:cs="Arial"/>
          <w:color w:val="000000" w:themeColor="text1"/>
          <w:shd w:val="clear" w:color="auto" w:fill="FFFFFF"/>
          <w:lang w:val="en-US"/>
        </w:rPr>
        <w:t>have been</w:t>
      </w:r>
      <w:r w:rsidRPr="00004507">
        <w:rPr>
          <w:rFonts w:ascii="Arial" w:hAnsi="Arial" w:cs="Arial"/>
          <w:color w:val="000000" w:themeColor="text1"/>
          <w:shd w:val="clear" w:color="auto" w:fill="FFFFFF"/>
          <w:lang w:val="en-US"/>
        </w:rPr>
        <w:t xml:space="preserve"> observed to have myocardial ischemia</w:t>
      </w:r>
      <w:r w:rsidRPr="00004507">
        <w:rPr>
          <w:rFonts w:ascii="Arial" w:hAnsi="Arial" w:cs="Arial"/>
          <w:color w:val="000000" w:themeColor="text1"/>
          <w:spacing w:val="2"/>
          <w:shd w:val="clear" w:color="auto" w:fill="FCFCFC"/>
          <w:lang w:val="en-US"/>
        </w:rPr>
        <w:t xml:space="preserve"> at </w:t>
      </w:r>
      <w:r w:rsidR="00FF1A23" w:rsidRPr="00004507">
        <w:rPr>
          <w:rFonts w:ascii="Arial" w:hAnsi="Arial" w:cs="Arial"/>
          <w:color w:val="000000" w:themeColor="text1"/>
          <w:spacing w:val="2"/>
          <w:shd w:val="clear" w:color="auto" w:fill="FCFCFC"/>
          <w:lang w:val="en-US"/>
        </w:rPr>
        <w:t xml:space="preserve">a </w:t>
      </w:r>
      <w:r w:rsidRPr="00004507">
        <w:rPr>
          <w:rFonts w:ascii="Arial" w:hAnsi="Arial" w:cs="Arial"/>
          <w:color w:val="000000" w:themeColor="text1"/>
          <w:shd w:val="clear" w:color="auto" w:fill="FFFFFF"/>
          <w:lang w:val="en-US"/>
        </w:rPr>
        <w:t xml:space="preserve">subclinical stage, verified by tissue Doppler echocardiography, in a Turkish population </w:t>
      </w:r>
      <w:r w:rsidR="00543A69" w:rsidRPr="00004507">
        <w:rPr>
          <w:rFonts w:ascii="Arial" w:hAnsi="Arial" w:cs="Arial"/>
          <w:color w:val="000000" w:themeColor="text1"/>
          <w:shd w:val="clear" w:color="auto" w:fill="FFFFFF"/>
          <w:lang w:val="en-US"/>
        </w:rPr>
        <w:t>[6</w:t>
      </w:r>
      <w:r w:rsidR="008C7FBA">
        <w:rPr>
          <w:rFonts w:ascii="Arial" w:hAnsi="Arial" w:cs="Arial"/>
          <w:color w:val="000000" w:themeColor="text1"/>
          <w:shd w:val="clear" w:color="auto" w:fill="FFFFFF"/>
          <w:lang w:val="en-US"/>
        </w:rPr>
        <w:t>4</w:t>
      </w:r>
      <w:r w:rsidR="002A62C8"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In addition, </w:t>
      </w:r>
      <w:r w:rsidRPr="00004507">
        <w:rPr>
          <w:rFonts w:ascii="Arial" w:hAnsi="Arial" w:cs="Arial"/>
          <w:color w:val="000000" w:themeColor="text1"/>
          <w:spacing w:val="2"/>
          <w:shd w:val="clear" w:color="auto" w:fill="FCFCFC"/>
          <w:lang w:val="en-US"/>
        </w:rPr>
        <w:t xml:space="preserve">PEG was also found to be significantly associated with the presence of </w:t>
      </w:r>
      <w:r w:rsidRPr="00004507">
        <w:rPr>
          <w:rFonts w:ascii="Arial" w:hAnsi="Arial" w:cs="Arial"/>
          <w:color w:val="000000" w:themeColor="text1"/>
          <w:shd w:val="clear" w:color="auto" w:fill="FFFFFF"/>
          <w:lang w:val="en-US"/>
        </w:rPr>
        <w:t xml:space="preserve">cardiovascular disorders </w:t>
      </w:r>
      <w:r w:rsidR="00543A69" w:rsidRPr="00004507">
        <w:rPr>
          <w:rFonts w:ascii="Arial" w:hAnsi="Arial" w:cs="Arial"/>
          <w:color w:val="000000" w:themeColor="text1"/>
          <w:shd w:val="clear" w:color="auto" w:fill="FFFFFF"/>
          <w:lang w:val="en-US"/>
        </w:rPr>
        <w:t>[6</w:t>
      </w:r>
      <w:r w:rsidR="008C7FBA">
        <w:rPr>
          <w:rFonts w:ascii="Arial" w:hAnsi="Arial" w:cs="Arial"/>
          <w:color w:val="000000" w:themeColor="text1"/>
          <w:shd w:val="clear" w:color="auto" w:fill="FFFFFF"/>
          <w:lang w:val="en-US"/>
        </w:rPr>
        <w:t>5</w:t>
      </w:r>
      <w:r w:rsidR="002A62C8"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w:t>
      </w:r>
      <w:r w:rsidRPr="00004507">
        <w:rPr>
          <w:rFonts w:ascii="Arial" w:eastAsia="Times New Roman" w:hAnsi="Arial" w:cs="Arial"/>
          <w:iCs/>
          <w:color w:val="000000" w:themeColor="text1"/>
          <w:lang w:val="en-US" w:eastAsia="tr-TR"/>
        </w:rPr>
        <w:t xml:space="preserve">On the other hand, some studies </w:t>
      </w:r>
      <w:r w:rsidR="00FF1A23" w:rsidRPr="00004507">
        <w:rPr>
          <w:rFonts w:ascii="Arial" w:eastAsia="Times New Roman" w:hAnsi="Arial" w:cs="Arial"/>
          <w:iCs/>
          <w:color w:val="000000" w:themeColor="text1"/>
          <w:lang w:val="en-US" w:eastAsia="tr-TR"/>
        </w:rPr>
        <w:t xml:space="preserve">have </w:t>
      </w:r>
      <w:r w:rsidRPr="00004507">
        <w:rPr>
          <w:rFonts w:ascii="Arial" w:eastAsia="Times New Roman" w:hAnsi="Arial" w:cs="Arial"/>
          <w:iCs/>
          <w:color w:val="000000" w:themeColor="text1"/>
          <w:lang w:val="en-US" w:eastAsia="tr-TR"/>
        </w:rPr>
        <w:t>reported no significant relationship between PEX and any systemic disease</w:t>
      </w:r>
      <w:r w:rsidR="00FF1A23" w:rsidRPr="00004507">
        <w:rPr>
          <w:rFonts w:ascii="Arial" w:eastAsia="Times New Roman" w:hAnsi="Arial" w:cs="Arial"/>
          <w:iCs/>
          <w:color w:val="000000" w:themeColor="text1"/>
          <w:lang w:val="en-US" w:eastAsia="tr-TR"/>
        </w:rPr>
        <w:t>s</w:t>
      </w:r>
      <w:r w:rsidRPr="00004507">
        <w:rPr>
          <w:rFonts w:ascii="Arial" w:eastAsia="Times New Roman" w:hAnsi="Arial" w:cs="Arial"/>
          <w:iCs/>
          <w:color w:val="000000" w:themeColor="text1"/>
          <w:lang w:val="en-US" w:eastAsia="tr-TR"/>
        </w:rPr>
        <w:t xml:space="preserve"> such as </w:t>
      </w:r>
      <w:r w:rsidRPr="00004507">
        <w:rPr>
          <w:rFonts w:ascii="Arial" w:hAnsi="Arial" w:cs="Arial"/>
          <w:color w:val="000000" w:themeColor="text1"/>
          <w:shd w:val="clear" w:color="auto" w:fill="FFFFFF"/>
          <w:lang w:val="en-US"/>
        </w:rPr>
        <w:t>hypertension, cardiovascular disease</w:t>
      </w:r>
      <w:r w:rsidR="00FF1A23"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and diabetes </w:t>
      </w:r>
      <w:r w:rsidR="002A62C8" w:rsidRPr="00004507">
        <w:rPr>
          <w:rFonts w:ascii="Arial" w:hAnsi="Arial" w:cs="Arial"/>
          <w:color w:val="000000" w:themeColor="text1"/>
          <w:shd w:val="clear" w:color="auto" w:fill="FFFFFF"/>
          <w:lang w:val="en-US"/>
        </w:rPr>
        <w:t>[6</w:t>
      </w:r>
      <w:r w:rsidR="008C7FBA">
        <w:rPr>
          <w:rFonts w:ascii="Arial" w:hAnsi="Arial" w:cs="Arial"/>
          <w:color w:val="000000" w:themeColor="text1"/>
          <w:shd w:val="clear" w:color="auto" w:fill="FFFFFF"/>
          <w:lang w:val="en-US"/>
        </w:rPr>
        <w:t>6</w:t>
      </w:r>
      <w:r w:rsidR="002A62C8"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as well as cerebrovascular disease </w:t>
      </w:r>
      <w:r w:rsidR="00543A69" w:rsidRPr="00004507">
        <w:rPr>
          <w:rFonts w:ascii="Arial" w:hAnsi="Arial" w:cs="Arial"/>
          <w:color w:val="000000" w:themeColor="text1"/>
          <w:shd w:val="clear" w:color="auto" w:fill="FFFFFF"/>
          <w:lang w:val="en-US"/>
        </w:rPr>
        <w:t>[</w:t>
      </w:r>
      <w:r w:rsidR="008C7FBA">
        <w:rPr>
          <w:rFonts w:ascii="Arial" w:hAnsi="Arial" w:cs="Arial"/>
          <w:color w:val="000000" w:themeColor="text1"/>
          <w:shd w:val="clear" w:color="auto" w:fill="FFFFFF"/>
          <w:lang w:val="en-US"/>
        </w:rPr>
        <w:t>67-71</w:t>
      </w:r>
      <w:r w:rsidR="002A62C8"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Similarly, </w:t>
      </w:r>
      <w:proofErr w:type="spellStart"/>
      <w:r w:rsidRPr="00004507">
        <w:rPr>
          <w:rFonts w:ascii="Arial" w:hAnsi="Arial" w:cs="Arial"/>
          <w:color w:val="000000" w:themeColor="text1"/>
          <w:shd w:val="clear" w:color="auto" w:fill="FFFFFF"/>
          <w:lang w:val="en-US"/>
        </w:rPr>
        <w:t>Emiroglu</w:t>
      </w:r>
      <w:proofErr w:type="spellEnd"/>
      <w:r w:rsidRPr="00004507">
        <w:rPr>
          <w:rFonts w:ascii="Arial" w:hAnsi="Arial" w:cs="Arial"/>
          <w:color w:val="000000" w:themeColor="text1"/>
          <w:shd w:val="clear" w:color="auto" w:fill="FFFFFF"/>
          <w:lang w:val="en-US"/>
        </w:rPr>
        <w:t xml:space="preserve"> </w:t>
      </w:r>
      <w:r w:rsidR="005D7009" w:rsidRPr="00004507">
        <w:rPr>
          <w:rFonts w:ascii="Arial" w:hAnsi="Arial" w:cs="Arial"/>
          <w:color w:val="000000" w:themeColor="text1"/>
          <w:shd w:val="clear" w:color="auto" w:fill="FFFFFF"/>
          <w:lang w:val="en-US"/>
        </w:rPr>
        <w:t>et al.</w:t>
      </w:r>
      <w:r w:rsidRPr="00004507">
        <w:rPr>
          <w:rFonts w:ascii="Arial" w:hAnsi="Arial" w:cs="Arial"/>
          <w:color w:val="000000" w:themeColor="text1"/>
          <w:shd w:val="clear" w:color="auto" w:fill="FFFFFF"/>
          <w:lang w:val="en-US"/>
        </w:rPr>
        <w:t xml:space="preserve"> did not find any association between PEX and CAD, aortic aneurysm</w:t>
      </w:r>
      <w:r w:rsidR="00FF1A23"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or peripheral artery disease </w:t>
      </w:r>
      <w:r w:rsidR="00543A69" w:rsidRPr="00004507">
        <w:rPr>
          <w:rFonts w:ascii="Arial" w:hAnsi="Arial" w:cs="Arial"/>
          <w:color w:val="000000" w:themeColor="text1"/>
          <w:shd w:val="clear" w:color="auto" w:fill="FFFFFF"/>
          <w:lang w:val="en-US"/>
        </w:rPr>
        <w:t>[7</w:t>
      </w:r>
      <w:r w:rsidR="008C7FBA">
        <w:rPr>
          <w:rFonts w:ascii="Arial" w:hAnsi="Arial" w:cs="Arial"/>
          <w:color w:val="000000" w:themeColor="text1"/>
          <w:shd w:val="clear" w:color="auto" w:fill="FFFFFF"/>
          <w:lang w:val="en-US"/>
        </w:rPr>
        <w:t>2</w:t>
      </w:r>
      <w:r w:rsidR="002A62C8" w:rsidRPr="00004507">
        <w:rPr>
          <w:rFonts w:ascii="Arial" w:hAnsi="Arial" w:cs="Arial"/>
          <w:color w:val="000000" w:themeColor="text1"/>
          <w:shd w:val="clear" w:color="auto" w:fill="FFFFFF"/>
          <w:lang w:val="en-US"/>
        </w:rPr>
        <w:t>]</w:t>
      </w:r>
      <w:r w:rsidRPr="00004507">
        <w:rPr>
          <w:rFonts w:ascii="Arial" w:hAnsi="Arial" w:cs="Arial"/>
          <w:color w:val="000000" w:themeColor="text1"/>
          <w:shd w:val="clear" w:color="auto" w:fill="FFFFFF"/>
          <w:lang w:val="en-US"/>
        </w:rPr>
        <w:t xml:space="preserve">. In the present study, the prevalence of systemic hypertension, diabetes, and the percentage of smokers did not differ significantly </w:t>
      </w:r>
      <w:r w:rsidR="00FF1A23" w:rsidRPr="00004507">
        <w:rPr>
          <w:rFonts w:ascii="Arial" w:hAnsi="Arial" w:cs="Arial"/>
          <w:color w:val="000000" w:themeColor="text1"/>
          <w:shd w:val="clear" w:color="auto" w:fill="FFFFFF"/>
          <w:lang w:val="en-US"/>
        </w:rPr>
        <w:t>between</w:t>
      </w:r>
      <w:r w:rsidRPr="00004507">
        <w:rPr>
          <w:rFonts w:ascii="Arial" w:hAnsi="Arial" w:cs="Arial"/>
          <w:color w:val="000000" w:themeColor="text1"/>
          <w:shd w:val="clear" w:color="auto" w:fill="FFFFFF"/>
          <w:lang w:val="en-US"/>
        </w:rPr>
        <w:t xml:space="preserve"> the PEG</w:t>
      </w:r>
      <w:r w:rsidR="00FF1A23" w:rsidRPr="00004507">
        <w:rPr>
          <w:rFonts w:ascii="Arial" w:hAnsi="Arial" w:cs="Arial"/>
          <w:color w:val="000000" w:themeColor="text1"/>
          <w:shd w:val="clear" w:color="auto" w:fill="FFFFFF"/>
          <w:lang w:val="en-US"/>
        </w:rPr>
        <w:t xml:space="preserve">, </w:t>
      </w:r>
      <w:r w:rsidRPr="00004507">
        <w:rPr>
          <w:rFonts w:ascii="Arial" w:hAnsi="Arial" w:cs="Arial"/>
          <w:color w:val="000000" w:themeColor="text1"/>
          <w:shd w:val="clear" w:color="auto" w:fill="FFFFFF"/>
          <w:lang w:val="en-US"/>
        </w:rPr>
        <w:t>PEX</w:t>
      </w:r>
      <w:r w:rsidR="00FF1A23" w:rsidRPr="00004507">
        <w:rPr>
          <w:rFonts w:ascii="Arial" w:hAnsi="Arial" w:cs="Arial"/>
          <w:color w:val="000000" w:themeColor="text1"/>
          <w:shd w:val="clear" w:color="auto" w:fill="FFFFFF"/>
          <w:lang w:val="en-US"/>
        </w:rPr>
        <w:t xml:space="preserve">, and </w:t>
      </w:r>
      <w:r w:rsidRPr="00004507">
        <w:rPr>
          <w:rFonts w:ascii="Arial" w:hAnsi="Arial" w:cs="Arial"/>
          <w:color w:val="000000" w:themeColor="text1"/>
          <w:shd w:val="clear" w:color="auto" w:fill="FFFFFF"/>
          <w:lang w:val="en-US"/>
        </w:rPr>
        <w:t xml:space="preserve">control groups. </w:t>
      </w:r>
    </w:p>
    <w:p w14:paraId="58A1482A" w14:textId="39A68677" w:rsidR="00A750B3" w:rsidRPr="00004507" w:rsidRDefault="00A750B3" w:rsidP="00C15EA2">
      <w:pPr>
        <w:spacing w:line="276" w:lineRule="auto"/>
        <w:jc w:val="both"/>
        <w:rPr>
          <w:rFonts w:ascii="Arial" w:hAnsi="Arial" w:cs="Arial"/>
          <w:color w:val="000000" w:themeColor="text1"/>
          <w:lang w:val="en-US"/>
        </w:rPr>
      </w:pPr>
      <w:r w:rsidRPr="00004507">
        <w:rPr>
          <w:rFonts w:ascii="Arial" w:hAnsi="Arial" w:cs="Arial"/>
          <w:color w:val="000000" w:themeColor="text1"/>
          <w:lang w:val="en-US"/>
        </w:rPr>
        <w:t>A limitation of this study was</w:t>
      </w:r>
      <w:r w:rsidR="00CD7366" w:rsidRPr="00004507">
        <w:rPr>
          <w:rFonts w:ascii="Arial" w:hAnsi="Arial" w:cs="Arial"/>
          <w:color w:val="000000" w:themeColor="text1"/>
          <w:lang w:val="en-US"/>
        </w:rPr>
        <w:t xml:space="preserve"> the</w:t>
      </w:r>
      <w:r w:rsidRPr="00004507">
        <w:rPr>
          <w:rFonts w:ascii="Arial" w:hAnsi="Arial" w:cs="Arial"/>
          <w:color w:val="000000" w:themeColor="text1"/>
          <w:lang w:val="en-US"/>
        </w:rPr>
        <w:t xml:space="preserve"> lack of access to serum samples of all the subjects, </w:t>
      </w:r>
      <w:r w:rsidR="00A85CC3" w:rsidRPr="00004507">
        <w:rPr>
          <w:rFonts w:ascii="Arial" w:hAnsi="Arial" w:cs="Arial"/>
          <w:color w:val="000000" w:themeColor="text1"/>
          <w:lang w:val="en-US"/>
        </w:rPr>
        <w:t>for the evaluation of their PON1 enzyme activity levels. Further studies analyzing</w:t>
      </w:r>
      <w:r w:rsidRPr="00004507">
        <w:rPr>
          <w:rFonts w:ascii="Arial" w:hAnsi="Arial" w:cs="Arial"/>
          <w:color w:val="000000" w:themeColor="text1"/>
          <w:lang w:val="en-US"/>
        </w:rPr>
        <w:t xml:space="preserve"> PON1 status and genetic </w:t>
      </w:r>
      <w:r w:rsidR="004857C5">
        <w:rPr>
          <w:rFonts w:ascii="Arial" w:hAnsi="Arial" w:cs="Arial"/>
          <w:color w:val="000000" w:themeColor="text1"/>
          <w:lang w:val="en-US"/>
        </w:rPr>
        <w:t>variation</w:t>
      </w:r>
      <w:r w:rsidRPr="00004507">
        <w:rPr>
          <w:rFonts w:ascii="Arial" w:hAnsi="Arial" w:cs="Arial"/>
          <w:color w:val="000000" w:themeColor="text1"/>
          <w:lang w:val="en-US"/>
        </w:rPr>
        <w:t xml:space="preserve">s at the same time </w:t>
      </w:r>
      <w:r w:rsidR="00A85CC3" w:rsidRPr="00004507">
        <w:rPr>
          <w:rFonts w:ascii="Arial" w:hAnsi="Arial" w:cs="Arial"/>
          <w:color w:val="000000" w:themeColor="text1"/>
          <w:lang w:val="en-US"/>
        </w:rPr>
        <w:t>might provide more information about</w:t>
      </w:r>
      <w:r w:rsidRPr="00004507">
        <w:rPr>
          <w:rFonts w:ascii="Arial" w:hAnsi="Arial" w:cs="Arial"/>
          <w:color w:val="000000" w:themeColor="text1"/>
          <w:lang w:val="en-US"/>
        </w:rPr>
        <w:t xml:space="preserve"> their relation with PEX/PEG. There are still no valid </w:t>
      </w:r>
      <w:r w:rsidR="00A85CC3" w:rsidRPr="00004507">
        <w:rPr>
          <w:rFonts w:ascii="Arial" w:hAnsi="Arial" w:cs="Arial"/>
          <w:color w:val="000000" w:themeColor="text1"/>
          <w:lang w:val="en-US"/>
        </w:rPr>
        <w:t xml:space="preserve">and </w:t>
      </w:r>
      <w:r w:rsidRPr="00004507">
        <w:rPr>
          <w:rFonts w:ascii="Arial" w:hAnsi="Arial" w:cs="Arial"/>
          <w:color w:val="000000" w:themeColor="text1"/>
          <w:lang w:val="en-US"/>
        </w:rPr>
        <w:t xml:space="preserve">objective early biomarkers for these disorders. Therefore, carefully designed multidisciplinary studies are still needed to find objective parameters that can be used for </w:t>
      </w:r>
      <w:r w:rsidR="00441559" w:rsidRPr="00004507">
        <w:rPr>
          <w:rFonts w:ascii="Arial" w:hAnsi="Arial" w:cs="Arial"/>
          <w:color w:val="000000" w:themeColor="text1"/>
          <w:lang w:val="en-US"/>
        </w:rPr>
        <w:t xml:space="preserve">the </w:t>
      </w:r>
      <w:r w:rsidRPr="00004507">
        <w:rPr>
          <w:rFonts w:ascii="Arial" w:hAnsi="Arial" w:cs="Arial"/>
          <w:color w:val="000000" w:themeColor="text1"/>
          <w:lang w:val="en-US"/>
        </w:rPr>
        <w:t xml:space="preserve">early diagnosis of PEX and </w:t>
      </w:r>
      <w:r w:rsidR="00441559" w:rsidRPr="00004507">
        <w:rPr>
          <w:rFonts w:ascii="Arial" w:hAnsi="Arial" w:cs="Arial"/>
          <w:color w:val="000000" w:themeColor="text1"/>
          <w:lang w:val="en-US"/>
        </w:rPr>
        <w:t xml:space="preserve">the </w:t>
      </w:r>
      <w:r w:rsidRPr="00004507">
        <w:rPr>
          <w:rFonts w:ascii="Arial" w:hAnsi="Arial" w:cs="Arial"/>
          <w:color w:val="000000" w:themeColor="text1"/>
          <w:lang w:val="en-US"/>
        </w:rPr>
        <w:t>discrimination of PEX patients prone to develop</w:t>
      </w:r>
      <w:r w:rsidR="00441559" w:rsidRPr="00004507">
        <w:rPr>
          <w:rFonts w:ascii="Arial" w:hAnsi="Arial" w:cs="Arial"/>
          <w:color w:val="000000" w:themeColor="text1"/>
          <w:lang w:val="en-US"/>
        </w:rPr>
        <w:t>ing PEG</w:t>
      </w:r>
      <w:r w:rsidRPr="00004507">
        <w:rPr>
          <w:rFonts w:ascii="Arial" w:hAnsi="Arial" w:cs="Arial"/>
          <w:color w:val="000000" w:themeColor="text1"/>
          <w:lang w:val="en-US"/>
        </w:rPr>
        <w:t xml:space="preserve"> so that precautions can be taken before the damage </w:t>
      </w:r>
      <w:r w:rsidR="00441559" w:rsidRPr="00004507">
        <w:rPr>
          <w:rFonts w:ascii="Arial" w:hAnsi="Arial" w:cs="Arial"/>
          <w:color w:val="000000" w:themeColor="text1"/>
          <w:lang w:val="en-US"/>
        </w:rPr>
        <w:t xml:space="preserve">to the </w:t>
      </w:r>
      <w:r w:rsidRPr="00004507">
        <w:rPr>
          <w:rFonts w:ascii="Arial" w:hAnsi="Arial" w:cs="Arial"/>
          <w:color w:val="000000" w:themeColor="text1"/>
          <w:lang w:val="en-US"/>
        </w:rPr>
        <w:t xml:space="preserve">optic nerve </w:t>
      </w:r>
      <w:r w:rsidR="00441559" w:rsidRPr="00004507">
        <w:rPr>
          <w:rFonts w:ascii="Arial" w:hAnsi="Arial" w:cs="Arial"/>
          <w:color w:val="000000" w:themeColor="text1"/>
          <w:lang w:val="en-US"/>
        </w:rPr>
        <w:t>advances</w:t>
      </w:r>
      <w:r w:rsidRPr="00004507">
        <w:rPr>
          <w:rFonts w:ascii="Arial" w:hAnsi="Arial" w:cs="Arial"/>
          <w:color w:val="000000" w:themeColor="text1"/>
          <w:lang w:val="en-US"/>
        </w:rPr>
        <w:t>.</w:t>
      </w:r>
    </w:p>
    <w:p w14:paraId="6D6EA0AC" w14:textId="2C965251" w:rsidR="00480E9F" w:rsidRPr="001320A7" w:rsidRDefault="00480E9F" w:rsidP="00480E9F">
      <w:pPr>
        <w:spacing w:after="240" w:line="276" w:lineRule="auto"/>
        <w:jc w:val="both"/>
        <w:rPr>
          <w:rFonts w:ascii="Arial" w:hAnsi="Arial" w:cs="Arial"/>
          <w:color w:val="000000" w:themeColor="text1"/>
          <w:lang w:val="en-US"/>
        </w:rPr>
      </w:pPr>
      <w:r w:rsidRPr="00004507">
        <w:rPr>
          <w:rFonts w:ascii="Arial" w:hAnsi="Arial" w:cs="Arial"/>
          <w:color w:val="000000" w:themeColor="text1"/>
          <w:lang w:val="en-US"/>
        </w:rPr>
        <w:t xml:space="preserve">In conclusion, this study, for the first time, evaluated PON1 genetic </w:t>
      </w:r>
      <w:r>
        <w:rPr>
          <w:rFonts w:ascii="Arial" w:hAnsi="Arial" w:cs="Arial"/>
          <w:color w:val="000000" w:themeColor="text1"/>
          <w:lang w:val="en-US"/>
        </w:rPr>
        <w:t>variations</w:t>
      </w:r>
      <w:r w:rsidR="00720C7F">
        <w:rPr>
          <w:rFonts w:ascii="Arial" w:hAnsi="Arial" w:cs="Arial"/>
          <w:color w:val="000000" w:themeColor="text1"/>
          <w:lang w:val="en-US"/>
        </w:rPr>
        <w:t xml:space="preserve"> </w:t>
      </w:r>
      <w:r w:rsidRPr="00004507">
        <w:rPr>
          <w:rFonts w:ascii="Arial" w:hAnsi="Arial" w:cs="Arial"/>
          <w:color w:val="000000" w:themeColor="text1"/>
          <w:lang w:val="en-US"/>
        </w:rPr>
        <w:t>in relation to their association with PEX</w:t>
      </w:r>
      <w:r>
        <w:rPr>
          <w:rFonts w:ascii="Arial" w:hAnsi="Arial" w:cs="Arial"/>
          <w:color w:val="000000" w:themeColor="text1"/>
          <w:lang w:val="en-US"/>
        </w:rPr>
        <w:t xml:space="preserve"> and </w:t>
      </w:r>
      <w:r w:rsidRPr="00004507">
        <w:rPr>
          <w:rFonts w:ascii="Arial" w:hAnsi="Arial" w:cs="Arial"/>
          <w:color w:val="000000" w:themeColor="text1"/>
          <w:lang w:val="en-US"/>
        </w:rPr>
        <w:t>PEG</w:t>
      </w:r>
      <w:r>
        <w:rPr>
          <w:rFonts w:ascii="Arial" w:hAnsi="Arial" w:cs="Arial"/>
          <w:color w:val="000000" w:themeColor="text1"/>
          <w:lang w:val="en-US"/>
        </w:rPr>
        <w:t>,</w:t>
      </w:r>
      <w:r w:rsidRPr="00004507">
        <w:rPr>
          <w:rFonts w:ascii="Arial" w:hAnsi="Arial" w:cs="Arial"/>
          <w:color w:val="000000" w:themeColor="text1"/>
          <w:lang w:val="en-US"/>
        </w:rPr>
        <w:t xml:space="preserve"> and the results indicate that the </w:t>
      </w:r>
      <w:r w:rsidRPr="00004507">
        <w:rPr>
          <w:rFonts w:ascii="Arial" w:hAnsi="Arial" w:cs="Arial"/>
          <w:i/>
          <w:color w:val="000000" w:themeColor="text1"/>
          <w:lang w:val="en-US"/>
        </w:rPr>
        <w:t>PON1</w:t>
      </w:r>
      <w:r w:rsidRPr="00004507">
        <w:rPr>
          <w:rFonts w:ascii="Arial" w:hAnsi="Arial" w:cs="Arial"/>
          <w:color w:val="000000" w:themeColor="text1"/>
          <w:lang w:val="en-US"/>
        </w:rPr>
        <w:t xml:space="preserve"> </w:t>
      </w:r>
      <w:r>
        <w:rPr>
          <w:rFonts w:ascii="Arial" w:hAnsi="Arial" w:cs="Arial"/>
          <w:color w:val="000000" w:themeColor="text1"/>
          <w:lang w:val="en-US"/>
        </w:rPr>
        <w:t>promoter variation</w:t>
      </w:r>
      <w:r w:rsidR="00720C7F">
        <w:rPr>
          <w:rFonts w:ascii="Arial" w:hAnsi="Arial" w:cs="Arial"/>
          <w:color w:val="000000" w:themeColor="text1"/>
          <w:lang w:val="en-US"/>
        </w:rPr>
        <w:t xml:space="preserve"> </w:t>
      </w:r>
      <w:r>
        <w:rPr>
          <w:rFonts w:ascii="Arial" w:hAnsi="Arial" w:cs="Arial"/>
          <w:color w:val="000000" w:themeColor="text1"/>
          <w:lang w:val="en-US"/>
        </w:rPr>
        <w:t>might have</w:t>
      </w:r>
      <w:r w:rsidRPr="00004507">
        <w:rPr>
          <w:rFonts w:ascii="Arial" w:hAnsi="Arial" w:cs="Arial"/>
          <w:color w:val="000000" w:themeColor="text1"/>
          <w:lang w:val="en-US"/>
        </w:rPr>
        <w:t xml:space="preserve"> has some involvement in the pathogenesis of </w:t>
      </w:r>
      <w:r>
        <w:rPr>
          <w:rFonts w:ascii="Arial" w:hAnsi="Arial" w:cs="Arial"/>
          <w:color w:val="000000" w:themeColor="text1"/>
          <w:lang w:val="en-US"/>
        </w:rPr>
        <w:t>PEX</w:t>
      </w:r>
      <w:r w:rsidRPr="00004507">
        <w:rPr>
          <w:rFonts w:ascii="Arial" w:hAnsi="Arial" w:cs="Arial"/>
          <w:color w:val="000000" w:themeColor="text1"/>
          <w:lang w:val="en-US"/>
        </w:rPr>
        <w:t xml:space="preserve">. </w:t>
      </w:r>
      <w:r w:rsidRPr="001320A7">
        <w:rPr>
          <w:rFonts w:ascii="Arial" w:hAnsi="Arial" w:cs="Arial"/>
          <w:color w:val="000000" w:themeColor="text1"/>
          <w:lang w:val="en-US"/>
        </w:rPr>
        <w:t>Given the large inter-ethnic variability in PON1 expression levels which result mainly from different distribution of genetic variations, further studies in other populations might help clear the role of PON1 in these disorders.</w:t>
      </w:r>
    </w:p>
    <w:p w14:paraId="6AE270AA" w14:textId="77777777" w:rsidR="00A71437" w:rsidRDefault="00A71437" w:rsidP="00A71437">
      <w:pPr>
        <w:spacing w:after="240" w:line="276" w:lineRule="auto"/>
        <w:jc w:val="both"/>
        <w:rPr>
          <w:rFonts w:ascii="Arial" w:hAnsi="Arial" w:cs="Arial"/>
          <w:b/>
          <w:color w:val="000000" w:themeColor="text1"/>
          <w:lang w:val="en-US"/>
        </w:rPr>
      </w:pPr>
    </w:p>
    <w:p w14:paraId="3202D472" w14:textId="77777777" w:rsidR="00A71437" w:rsidRPr="00004507" w:rsidRDefault="00A71437" w:rsidP="00A71437">
      <w:pPr>
        <w:spacing w:after="240" w:line="276" w:lineRule="auto"/>
        <w:jc w:val="both"/>
        <w:rPr>
          <w:rFonts w:ascii="Arial" w:hAnsi="Arial" w:cs="Arial"/>
          <w:b/>
          <w:color w:val="000000" w:themeColor="text1"/>
          <w:lang w:val="en-US"/>
        </w:rPr>
      </w:pPr>
      <w:r w:rsidRPr="00004507">
        <w:rPr>
          <w:rFonts w:ascii="Arial" w:hAnsi="Arial" w:cs="Arial"/>
          <w:b/>
          <w:color w:val="000000" w:themeColor="text1"/>
          <w:lang w:val="en-US"/>
        </w:rPr>
        <w:t>Acknowledgment</w:t>
      </w:r>
    </w:p>
    <w:p w14:paraId="35FE8EE0" w14:textId="0C092638" w:rsidR="00932714" w:rsidRPr="00A71437" w:rsidRDefault="00A71437" w:rsidP="00A71437">
      <w:pPr>
        <w:pStyle w:val="NormalWeb"/>
        <w:spacing w:before="240" w:beforeAutospacing="0" w:after="240" w:afterAutospacing="0" w:line="276" w:lineRule="auto"/>
        <w:jc w:val="both"/>
        <w:rPr>
          <w:rFonts w:ascii="Arial" w:hAnsi="Arial" w:cs="Arial"/>
          <w:color w:val="000000" w:themeColor="text1"/>
          <w:sz w:val="22"/>
          <w:szCs w:val="22"/>
          <w:lang w:val="en-US"/>
        </w:rPr>
      </w:pPr>
      <w:r w:rsidRPr="00004507">
        <w:rPr>
          <w:rFonts w:ascii="Arial" w:hAnsi="Arial" w:cs="Arial"/>
          <w:color w:val="000000" w:themeColor="text1"/>
          <w:sz w:val="22"/>
          <w:szCs w:val="22"/>
          <w:lang w:val="en-US"/>
        </w:rPr>
        <w:t xml:space="preserve">The authors thank the subjects for their participation in this study, Dr. </w:t>
      </w:r>
      <w:proofErr w:type="spellStart"/>
      <w:r w:rsidRPr="00004507">
        <w:rPr>
          <w:rFonts w:ascii="Arial" w:hAnsi="Arial" w:cs="Arial"/>
          <w:color w:val="000000" w:themeColor="text1"/>
          <w:sz w:val="22"/>
          <w:szCs w:val="22"/>
          <w:lang w:val="en-US"/>
        </w:rPr>
        <w:t>Tarkan</w:t>
      </w:r>
      <w:proofErr w:type="spellEnd"/>
      <w:r w:rsidRPr="00004507">
        <w:rPr>
          <w:rFonts w:ascii="Arial" w:hAnsi="Arial" w:cs="Arial"/>
          <w:color w:val="000000" w:themeColor="text1"/>
          <w:sz w:val="22"/>
          <w:szCs w:val="22"/>
          <w:lang w:val="en-US"/>
        </w:rPr>
        <w:t xml:space="preserve"> </w:t>
      </w:r>
      <w:proofErr w:type="spellStart"/>
      <w:r w:rsidRPr="00004507">
        <w:rPr>
          <w:rFonts w:ascii="Arial" w:hAnsi="Arial" w:cs="Arial"/>
          <w:color w:val="000000" w:themeColor="text1"/>
          <w:sz w:val="22"/>
          <w:szCs w:val="22"/>
          <w:lang w:val="en-US"/>
        </w:rPr>
        <w:t>Mumcuoğlu</w:t>
      </w:r>
      <w:proofErr w:type="spellEnd"/>
      <w:r w:rsidRPr="00004507">
        <w:rPr>
          <w:rFonts w:ascii="Arial" w:hAnsi="Arial" w:cs="Arial"/>
          <w:color w:val="000000" w:themeColor="text1"/>
          <w:sz w:val="22"/>
          <w:szCs w:val="22"/>
          <w:lang w:val="en-US"/>
        </w:rPr>
        <w:t xml:space="preserve"> and Dr. </w:t>
      </w:r>
      <w:proofErr w:type="spellStart"/>
      <w:r w:rsidRPr="00004507">
        <w:rPr>
          <w:rFonts w:ascii="Arial" w:hAnsi="Arial" w:cs="Arial"/>
          <w:color w:val="000000" w:themeColor="text1"/>
          <w:sz w:val="22"/>
          <w:szCs w:val="22"/>
          <w:lang w:val="en-US"/>
        </w:rPr>
        <w:t>Gökhan</w:t>
      </w:r>
      <w:proofErr w:type="spellEnd"/>
      <w:r w:rsidRPr="00004507">
        <w:rPr>
          <w:rFonts w:ascii="Arial" w:hAnsi="Arial" w:cs="Arial"/>
          <w:color w:val="000000" w:themeColor="text1"/>
          <w:sz w:val="22"/>
          <w:szCs w:val="22"/>
          <w:lang w:val="en-US"/>
        </w:rPr>
        <w:t xml:space="preserve"> </w:t>
      </w:r>
      <w:proofErr w:type="spellStart"/>
      <w:r w:rsidRPr="00004507">
        <w:rPr>
          <w:rFonts w:ascii="Arial" w:hAnsi="Arial" w:cs="Arial"/>
          <w:color w:val="000000" w:themeColor="text1"/>
          <w:sz w:val="22"/>
          <w:szCs w:val="22"/>
          <w:lang w:val="en-US"/>
        </w:rPr>
        <w:t>Özge</w:t>
      </w:r>
      <w:proofErr w:type="spellEnd"/>
      <w:r w:rsidRPr="00004507">
        <w:rPr>
          <w:rFonts w:ascii="Arial" w:hAnsi="Arial" w:cs="Arial"/>
          <w:color w:val="000000" w:themeColor="text1"/>
          <w:sz w:val="22"/>
          <w:szCs w:val="22"/>
          <w:lang w:val="en-US"/>
        </w:rPr>
        <w:t xml:space="preserve"> for sample collection. </w:t>
      </w:r>
    </w:p>
    <w:p w14:paraId="18087985" w14:textId="77777777" w:rsidR="00932714" w:rsidRPr="001320A7" w:rsidRDefault="00932714" w:rsidP="00932714">
      <w:pPr>
        <w:shd w:val="clear" w:color="auto" w:fill="FFFFFF"/>
        <w:spacing w:line="276" w:lineRule="auto"/>
        <w:rPr>
          <w:rFonts w:ascii="Arial" w:hAnsi="Arial" w:cs="Arial"/>
          <w:b/>
          <w:color w:val="000000" w:themeColor="text1"/>
          <w:lang w:val="en-US"/>
        </w:rPr>
      </w:pPr>
      <w:r w:rsidRPr="001320A7">
        <w:rPr>
          <w:rFonts w:ascii="Arial" w:hAnsi="Arial" w:cs="Arial"/>
          <w:b/>
          <w:color w:val="000000" w:themeColor="text1"/>
          <w:lang w:val="en-US"/>
        </w:rPr>
        <w:t>Funding</w:t>
      </w:r>
    </w:p>
    <w:p w14:paraId="182A9E10" w14:textId="77777777" w:rsidR="00932714" w:rsidRPr="001320A7" w:rsidRDefault="00932714" w:rsidP="00932714">
      <w:pPr>
        <w:shd w:val="clear" w:color="auto" w:fill="FFFFFF"/>
        <w:spacing w:line="276" w:lineRule="auto"/>
        <w:rPr>
          <w:rFonts w:ascii="Arial" w:hAnsi="Arial" w:cs="Arial"/>
          <w:color w:val="000000" w:themeColor="text1"/>
          <w:lang w:val="en-US"/>
        </w:rPr>
      </w:pPr>
      <w:r w:rsidRPr="001320A7">
        <w:rPr>
          <w:rFonts w:ascii="Arial" w:hAnsi="Arial" w:cs="Arial"/>
          <w:color w:val="000000" w:themeColor="text1"/>
          <w:lang w:val="en-US"/>
        </w:rPr>
        <w:t xml:space="preserve">This study was supported by a research grant from TUBITAK 315S190. </w:t>
      </w:r>
    </w:p>
    <w:p w14:paraId="4F3853C0" w14:textId="77777777" w:rsidR="00F75336" w:rsidRPr="001320A7" w:rsidRDefault="00F75336" w:rsidP="007D12FC">
      <w:pPr>
        <w:spacing w:after="240" w:line="276" w:lineRule="auto"/>
        <w:jc w:val="both"/>
        <w:rPr>
          <w:rFonts w:ascii="Arial" w:hAnsi="Arial" w:cs="Arial"/>
          <w:b/>
          <w:lang w:val="en-US"/>
        </w:rPr>
      </w:pPr>
      <w:bookmarkStart w:id="0" w:name="_GoBack"/>
      <w:bookmarkEnd w:id="0"/>
      <w:r w:rsidRPr="001320A7">
        <w:rPr>
          <w:rFonts w:ascii="Arial" w:hAnsi="Arial" w:cs="Arial"/>
          <w:b/>
          <w:lang w:val="en-US"/>
        </w:rPr>
        <w:lastRenderedPageBreak/>
        <w:t>Compliance with Ethical Standards:</w:t>
      </w:r>
    </w:p>
    <w:p w14:paraId="1A280887" w14:textId="77777777" w:rsidR="006A3AB2" w:rsidRPr="00BE1287" w:rsidRDefault="006A3AB2" w:rsidP="006A3AB2">
      <w:pPr>
        <w:autoSpaceDE w:val="0"/>
        <w:autoSpaceDN w:val="0"/>
        <w:adjustRightInd w:val="0"/>
        <w:spacing w:after="0" w:line="240" w:lineRule="auto"/>
        <w:rPr>
          <w:rFonts w:ascii="Arial" w:hAnsi="Arial" w:cs="Arial"/>
          <w:b/>
          <w:color w:val="000000" w:themeColor="text1"/>
          <w:szCs w:val="24"/>
          <w:lang w:val="en-US"/>
        </w:rPr>
      </w:pPr>
      <w:r w:rsidRPr="00BE1287">
        <w:rPr>
          <w:rFonts w:ascii="Arial" w:hAnsi="Arial" w:cs="Arial"/>
          <w:b/>
          <w:color w:val="000000" w:themeColor="text1"/>
          <w:szCs w:val="24"/>
          <w:lang w:val="en-US"/>
        </w:rPr>
        <w:t xml:space="preserve">Conflict of interest </w:t>
      </w:r>
    </w:p>
    <w:p w14:paraId="6B9B9D23" w14:textId="77777777" w:rsidR="006A3AB2" w:rsidRPr="00BE1287" w:rsidRDefault="006A3AB2" w:rsidP="006A3AB2">
      <w:pPr>
        <w:autoSpaceDE w:val="0"/>
        <w:autoSpaceDN w:val="0"/>
        <w:adjustRightInd w:val="0"/>
        <w:spacing w:after="0" w:line="240" w:lineRule="auto"/>
        <w:rPr>
          <w:rFonts w:ascii="Arial" w:hAnsi="Arial" w:cs="Arial"/>
          <w:color w:val="000000" w:themeColor="text1"/>
          <w:szCs w:val="24"/>
          <w:lang w:val="en-US"/>
        </w:rPr>
      </w:pPr>
    </w:p>
    <w:p w14:paraId="001BE5BD" w14:textId="31D683E0" w:rsidR="00E24503" w:rsidRPr="00BE1287" w:rsidRDefault="006A3AB2" w:rsidP="006A3AB2">
      <w:pPr>
        <w:autoSpaceDE w:val="0"/>
        <w:autoSpaceDN w:val="0"/>
        <w:adjustRightInd w:val="0"/>
        <w:spacing w:after="0" w:line="240" w:lineRule="auto"/>
        <w:rPr>
          <w:rFonts w:ascii="Arial" w:hAnsi="Arial" w:cs="Arial"/>
          <w:color w:val="000000" w:themeColor="text1"/>
          <w:szCs w:val="24"/>
          <w:lang w:val="en-US"/>
        </w:rPr>
      </w:pPr>
      <w:r w:rsidRPr="00BE1287">
        <w:rPr>
          <w:rFonts w:ascii="Arial" w:hAnsi="Arial" w:cs="Arial"/>
          <w:color w:val="000000" w:themeColor="text1"/>
          <w:szCs w:val="24"/>
          <w:lang w:val="en-US"/>
        </w:rPr>
        <w:t>The authors declar</w:t>
      </w:r>
      <w:r w:rsidRPr="00BE1287">
        <w:rPr>
          <w:rFonts w:ascii="Arial" w:hAnsi="Arial" w:cs="Arial"/>
          <w:color w:val="000000" w:themeColor="text1"/>
          <w:szCs w:val="24"/>
          <w:lang w:val="en-US"/>
        </w:rPr>
        <w:t xml:space="preserve">e that they have no conflict of </w:t>
      </w:r>
      <w:r w:rsidRPr="00BE1287">
        <w:rPr>
          <w:rFonts w:ascii="Arial" w:hAnsi="Arial" w:cs="Arial"/>
          <w:color w:val="000000" w:themeColor="text1"/>
          <w:szCs w:val="24"/>
          <w:lang w:val="en-US"/>
        </w:rPr>
        <w:t>interest.</w:t>
      </w:r>
    </w:p>
    <w:p w14:paraId="0D8E0643" w14:textId="77777777" w:rsidR="006A3AB2" w:rsidRPr="006A3AB2" w:rsidRDefault="006A3AB2" w:rsidP="006A3AB2">
      <w:pPr>
        <w:autoSpaceDE w:val="0"/>
        <w:autoSpaceDN w:val="0"/>
        <w:adjustRightInd w:val="0"/>
        <w:spacing w:after="0" w:line="240" w:lineRule="auto"/>
        <w:rPr>
          <w:rFonts w:ascii="Times New Roman" w:hAnsi="Times New Roman" w:cs="Times New Roman"/>
          <w:color w:val="000000" w:themeColor="text1"/>
          <w:sz w:val="24"/>
          <w:szCs w:val="24"/>
        </w:rPr>
      </w:pPr>
    </w:p>
    <w:p w14:paraId="268E13D0" w14:textId="4514AF88" w:rsidR="00965B2C" w:rsidRPr="001320A7" w:rsidRDefault="00965B2C" w:rsidP="00965B2C">
      <w:pPr>
        <w:autoSpaceDE w:val="0"/>
        <w:autoSpaceDN w:val="0"/>
        <w:adjustRightInd w:val="0"/>
        <w:spacing w:line="276" w:lineRule="auto"/>
        <w:rPr>
          <w:rFonts w:ascii="Arial" w:hAnsi="Arial" w:cs="Arial"/>
          <w:b/>
          <w:lang w:val="en-US"/>
        </w:rPr>
      </w:pPr>
      <w:r w:rsidRPr="001320A7">
        <w:rPr>
          <w:rFonts w:ascii="Arial" w:hAnsi="Arial" w:cs="Arial"/>
          <w:b/>
          <w:lang w:val="en-US"/>
        </w:rPr>
        <w:t xml:space="preserve">Informed consent </w:t>
      </w:r>
    </w:p>
    <w:p w14:paraId="24EE740B" w14:textId="63D8A91E" w:rsidR="00DB7DF3" w:rsidRPr="001320A7" w:rsidRDefault="00965B2C" w:rsidP="00932714">
      <w:pPr>
        <w:autoSpaceDE w:val="0"/>
        <w:autoSpaceDN w:val="0"/>
        <w:adjustRightInd w:val="0"/>
        <w:spacing w:line="276" w:lineRule="auto"/>
        <w:jc w:val="both"/>
        <w:rPr>
          <w:rFonts w:ascii="Arial" w:hAnsi="Arial" w:cs="Arial"/>
          <w:color w:val="000000" w:themeColor="text1"/>
          <w:lang w:val="en-US"/>
        </w:rPr>
      </w:pPr>
      <w:r w:rsidRPr="001320A7">
        <w:rPr>
          <w:rFonts w:ascii="Arial" w:hAnsi="Arial" w:cs="Arial"/>
          <w:lang w:val="en-US"/>
        </w:rPr>
        <w:t>Informed consent was obtained from all individual participants included in the study.</w:t>
      </w:r>
    </w:p>
    <w:p w14:paraId="1B67F89B" w14:textId="1D16CB10" w:rsidR="00546C73" w:rsidRDefault="00546C73" w:rsidP="00C762A2">
      <w:pPr>
        <w:shd w:val="clear" w:color="auto" w:fill="FFFFFF"/>
        <w:spacing w:line="276" w:lineRule="auto"/>
        <w:jc w:val="both"/>
        <w:rPr>
          <w:rFonts w:ascii="Arial" w:hAnsi="Arial" w:cs="Arial"/>
          <w:color w:val="222222"/>
          <w:shd w:val="clear" w:color="auto" w:fill="FFFFFF"/>
          <w:lang w:val="en-US"/>
        </w:rPr>
      </w:pPr>
      <w:r>
        <w:rPr>
          <w:rFonts w:ascii="Arial" w:hAnsi="Arial" w:cs="Arial"/>
          <w:b/>
          <w:color w:val="222222"/>
          <w:shd w:val="clear" w:color="auto" w:fill="FFFFFF"/>
          <w:lang w:val="en-US"/>
        </w:rPr>
        <w:t>Ethical approval</w:t>
      </w:r>
      <w:r w:rsidR="00316C52" w:rsidRPr="001320A7">
        <w:rPr>
          <w:rFonts w:ascii="Arial" w:hAnsi="Arial" w:cs="Arial"/>
          <w:color w:val="222222"/>
          <w:shd w:val="clear" w:color="auto" w:fill="FFFFFF"/>
          <w:lang w:val="en-US"/>
        </w:rPr>
        <w:t xml:space="preserve"> </w:t>
      </w:r>
    </w:p>
    <w:p w14:paraId="2C8161EB" w14:textId="45AD10BD" w:rsidR="00DB7DF3" w:rsidRPr="001320A7" w:rsidRDefault="00316C52" w:rsidP="00C762A2">
      <w:pPr>
        <w:shd w:val="clear" w:color="auto" w:fill="FFFFFF"/>
        <w:spacing w:line="276" w:lineRule="auto"/>
        <w:jc w:val="both"/>
        <w:rPr>
          <w:rFonts w:ascii="Arial" w:hAnsi="Arial" w:cs="Arial"/>
          <w:color w:val="000000" w:themeColor="text1"/>
          <w:lang w:val="en-US"/>
        </w:rPr>
      </w:pPr>
      <w:r w:rsidRPr="001320A7">
        <w:rPr>
          <w:rFonts w:ascii="Arial" w:hAnsi="Arial" w:cs="Arial"/>
          <w:color w:val="222222"/>
          <w:shd w:val="clear" w:color="auto" w:fill="FFFFFF"/>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477D7844" w14:textId="77777777" w:rsidR="007F4E62" w:rsidRDefault="007F4E62" w:rsidP="00C15EA2">
      <w:pPr>
        <w:shd w:val="clear" w:color="auto" w:fill="FFFFFF"/>
        <w:spacing w:line="276" w:lineRule="auto"/>
        <w:rPr>
          <w:rFonts w:ascii="Arial" w:hAnsi="Arial" w:cs="Arial"/>
          <w:b/>
          <w:color w:val="000000" w:themeColor="text1"/>
          <w:lang w:val="en-US"/>
        </w:rPr>
      </w:pPr>
    </w:p>
    <w:p w14:paraId="7D28000A" w14:textId="6D4ECDC8" w:rsidR="0085227F" w:rsidRPr="00004507" w:rsidRDefault="0085227F" w:rsidP="00C15EA2">
      <w:pPr>
        <w:shd w:val="clear" w:color="auto" w:fill="FFFFFF"/>
        <w:spacing w:line="276" w:lineRule="auto"/>
        <w:rPr>
          <w:rFonts w:ascii="Arial" w:hAnsi="Arial" w:cs="Arial"/>
          <w:b/>
          <w:color w:val="000000" w:themeColor="text1"/>
          <w:lang w:val="en-US"/>
        </w:rPr>
      </w:pPr>
      <w:r w:rsidRPr="00004507">
        <w:rPr>
          <w:rFonts w:ascii="Arial" w:hAnsi="Arial" w:cs="Arial"/>
          <w:b/>
          <w:color w:val="000000" w:themeColor="text1"/>
          <w:lang w:val="en-US"/>
        </w:rPr>
        <w:t>References</w:t>
      </w:r>
    </w:p>
    <w:p w14:paraId="673A8908"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Elhawy</w:t>
      </w:r>
      <w:proofErr w:type="spellEnd"/>
      <w:r w:rsidRPr="00004507">
        <w:rPr>
          <w:rFonts w:ascii="Arial" w:hAnsi="Arial" w:cs="Arial"/>
          <w:color w:val="000000" w:themeColor="text1"/>
          <w:lang w:val="en-US"/>
        </w:rPr>
        <w:t xml:space="preserve"> E, </w:t>
      </w:r>
      <w:proofErr w:type="spellStart"/>
      <w:r w:rsidRPr="00004507">
        <w:rPr>
          <w:rFonts w:ascii="Arial" w:hAnsi="Arial" w:cs="Arial"/>
          <w:color w:val="000000" w:themeColor="text1"/>
          <w:lang w:val="en-US"/>
        </w:rPr>
        <w:t>Kamthan</w:t>
      </w:r>
      <w:proofErr w:type="spellEnd"/>
      <w:r w:rsidRPr="00004507">
        <w:rPr>
          <w:rFonts w:ascii="Arial" w:hAnsi="Arial" w:cs="Arial"/>
          <w:color w:val="000000" w:themeColor="text1"/>
          <w:lang w:val="en-US"/>
        </w:rPr>
        <w:t xml:space="preserve"> G, Dong CQ, </w:t>
      </w:r>
      <w:proofErr w:type="spellStart"/>
      <w:r w:rsidRPr="00004507">
        <w:rPr>
          <w:rFonts w:ascii="Arial" w:hAnsi="Arial" w:cs="Arial"/>
          <w:color w:val="000000" w:themeColor="text1"/>
          <w:lang w:val="en-US"/>
        </w:rPr>
        <w:t>Danias</w:t>
      </w:r>
      <w:proofErr w:type="spellEnd"/>
      <w:r w:rsidRPr="00004507">
        <w:rPr>
          <w:rFonts w:ascii="Arial" w:hAnsi="Arial" w:cs="Arial"/>
          <w:color w:val="000000" w:themeColor="text1"/>
          <w:lang w:val="en-US"/>
        </w:rPr>
        <w:t xml:space="preserve"> J (2012) </w:t>
      </w:r>
      <w:r w:rsidRPr="00004507">
        <w:rPr>
          <w:rStyle w:val="highlight"/>
          <w:rFonts w:ascii="Arial" w:hAnsi="Arial" w:cs="Arial"/>
          <w:color w:val="000000" w:themeColor="text1"/>
          <w:lang w:val="en-US"/>
        </w:rPr>
        <w:t>Pseudoexfoliation syndrome</w:t>
      </w:r>
      <w:r w:rsidRPr="00004507">
        <w:rPr>
          <w:rFonts w:ascii="Arial" w:hAnsi="Arial" w:cs="Arial"/>
          <w:color w:val="000000" w:themeColor="text1"/>
          <w:lang w:val="en-US"/>
        </w:rPr>
        <w:t>, a </w:t>
      </w:r>
      <w:r w:rsidRPr="00004507">
        <w:rPr>
          <w:rStyle w:val="highlight"/>
          <w:rFonts w:ascii="Arial" w:hAnsi="Arial" w:cs="Arial"/>
          <w:color w:val="000000" w:themeColor="text1"/>
          <w:lang w:val="en-US"/>
        </w:rPr>
        <w:t>systemic</w:t>
      </w:r>
      <w:r w:rsidRPr="00004507">
        <w:rPr>
          <w:rFonts w:ascii="Arial" w:hAnsi="Arial" w:cs="Arial"/>
          <w:color w:val="000000" w:themeColor="text1"/>
          <w:lang w:val="en-US"/>
        </w:rPr>
        <w:t> </w:t>
      </w:r>
      <w:r w:rsidRPr="00004507">
        <w:rPr>
          <w:rStyle w:val="highlight"/>
          <w:rFonts w:ascii="Arial" w:hAnsi="Arial" w:cs="Arial"/>
          <w:color w:val="000000" w:themeColor="text1"/>
          <w:lang w:val="en-US"/>
        </w:rPr>
        <w:t>disorder</w:t>
      </w:r>
      <w:r w:rsidRPr="00004507">
        <w:rPr>
          <w:rFonts w:ascii="Arial" w:hAnsi="Arial" w:cs="Arial"/>
          <w:color w:val="000000" w:themeColor="text1"/>
          <w:lang w:val="en-US"/>
        </w:rPr>
        <w:t> with </w:t>
      </w:r>
      <w:r w:rsidRPr="00004507">
        <w:rPr>
          <w:rStyle w:val="highlight"/>
          <w:rFonts w:ascii="Arial" w:hAnsi="Arial" w:cs="Arial"/>
          <w:color w:val="000000" w:themeColor="text1"/>
          <w:lang w:val="en-US"/>
        </w:rPr>
        <w:t>ocular</w:t>
      </w:r>
      <w:r w:rsidRPr="00004507">
        <w:rPr>
          <w:rFonts w:ascii="Arial" w:hAnsi="Arial" w:cs="Arial"/>
          <w:color w:val="000000" w:themeColor="text1"/>
          <w:lang w:val="en-US"/>
        </w:rPr>
        <w:t> </w:t>
      </w:r>
      <w:r w:rsidRPr="00004507">
        <w:rPr>
          <w:rStyle w:val="highlight"/>
          <w:rFonts w:ascii="Arial" w:hAnsi="Arial" w:cs="Arial"/>
          <w:color w:val="000000" w:themeColor="text1"/>
          <w:lang w:val="en-US"/>
        </w:rPr>
        <w:t>manifestations</w:t>
      </w:r>
      <w:r w:rsidRPr="00004507">
        <w:rPr>
          <w:rFonts w:ascii="Arial" w:hAnsi="Arial" w:cs="Arial"/>
          <w:color w:val="000000" w:themeColor="text1"/>
          <w:lang w:val="en-US"/>
        </w:rPr>
        <w:t>. Hum Genomics 6:22.</w:t>
      </w:r>
    </w:p>
    <w:p w14:paraId="4BA7D5B7" w14:textId="6EC57304" w:rsidR="00DB7DF3" w:rsidRPr="00004507" w:rsidRDefault="00DB7DF3" w:rsidP="00DB7DF3">
      <w:pPr>
        <w:pStyle w:val="ListeParagraf"/>
        <w:shd w:val="clear" w:color="auto" w:fill="FFFFFF"/>
        <w:spacing w:before="120" w:after="0" w:line="240" w:lineRule="auto"/>
        <w:ind w:left="709"/>
        <w:jc w:val="both"/>
        <w:rPr>
          <w:rFonts w:ascii="Arial" w:hAnsi="Arial" w:cs="Arial"/>
          <w:lang w:val="en-US"/>
        </w:rPr>
      </w:pPr>
      <w:r w:rsidRPr="00004507">
        <w:rPr>
          <w:rFonts w:ascii="Arial" w:hAnsi="Arial" w:cs="Arial"/>
          <w:shd w:val="clear" w:color="auto" w:fill="FFFFFF"/>
        </w:rPr>
        <w:t>https://doi.org/10.1186/1479-7364-6-22</w:t>
      </w:r>
    </w:p>
    <w:p w14:paraId="00BEB735"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 xml:space="preserve">Colin J, Gall GL, </w:t>
      </w:r>
      <w:proofErr w:type="spellStart"/>
      <w:r w:rsidRPr="00004507">
        <w:rPr>
          <w:rFonts w:ascii="Arial" w:hAnsi="Arial" w:cs="Arial"/>
          <w:color w:val="000000" w:themeColor="text1"/>
          <w:shd w:val="clear" w:color="auto" w:fill="FFFFFF"/>
          <w:lang w:val="en-US"/>
        </w:rPr>
        <w:t>Jeune</w:t>
      </w:r>
      <w:proofErr w:type="spellEnd"/>
      <w:r w:rsidRPr="00004507">
        <w:rPr>
          <w:rFonts w:ascii="Arial" w:hAnsi="Arial" w:cs="Arial"/>
          <w:color w:val="000000" w:themeColor="text1"/>
          <w:shd w:val="clear" w:color="auto" w:fill="FFFFFF"/>
          <w:lang w:val="en-US"/>
        </w:rPr>
        <w:t xml:space="preserve"> BL, </w:t>
      </w:r>
      <w:proofErr w:type="spellStart"/>
      <w:r w:rsidRPr="00004507">
        <w:rPr>
          <w:rFonts w:ascii="Arial" w:hAnsi="Arial" w:cs="Arial"/>
          <w:color w:val="000000" w:themeColor="text1"/>
          <w:shd w:val="clear" w:color="auto" w:fill="FFFFFF"/>
          <w:lang w:val="en-US"/>
        </w:rPr>
        <w:t>Cambrai</w:t>
      </w:r>
      <w:proofErr w:type="spellEnd"/>
      <w:r w:rsidRPr="00004507">
        <w:rPr>
          <w:rFonts w:ascii="Arial" w:hAnsi="Arial" w:cs="Arial"/>
          <w:color w:val="000000" w:themeColor="text1"/>
          <w:shd w:val="clear" w:color="auto" w:fill="FFFFFF"/>
          <w:lang w:val="en-US"/>
        </w:rPr>
        <w:t xml:space="preserve"> MD (1988) </w:t>
      </w:r>
      <w:proofErr w:type="gramStart"/>
      <w:r w:rsidRPr="00004507">
        <w:rPr>
          <w:rFonts w:ascii="Arial" w:hAnsi="Arial" w:cs="Arial"/>
          <w:color w:val="000000" w:themeColor="text1"/>
          <w:shd w:val="clear" w:color="auto" w:fill="FFFFFF"/>
          <w:lang w:val="en-US"/>
        </w:rPr>
        <w:t>The</w:t>
      </w:r>
      <w:proofErr w:type="gramEnd"/>
      <w:r w:rsidRPr="00004507">
        <w:rPr>
          <w:rFonts w:ascii="Arial" w:hAnsi="Arial" w:cs="Arial"/>
          <w:color w:val="000000" w:themeColor="text1"/>
          <w:shd w:val="clear" w:color="auto" w:fill="FFFFFF"/>
          <w:lang w:val="en-US"/>
        </w:rPr>
        <w:t xml:space="preserve"> prevalence of exfoliation syndrome in different areas of France. </w:t>
      </w:r>
      <w:proofErr w:type="spellStart"/>
      <w:r w:rsidRPr="00004507">
        <w:rPr>
          <w:rFonts w:ascii="Arial" w:hAnsi="Arial" w:cs="Arial"/>
          <w:iCs/>
          <w:color w:val="000000" w:themeColor="text1"/>
          <w:shd w:val="clear" w:color="auto" w:fill="FFFFFF"/>
          <w:lang w:val="en-US"/>
        </w:rPr>
        <w:t>Acta</w:t>
      </w:r>
      <w:proofErr w:type="spellEnd"/>
      <w:r w:rsidRPr="00004507">
        <w:rPr>
          <w:rFonts w:ascii="Arial" w:hAnsi="Arial" w:cs="Arial"/>
          <w:iCs/>
          <w:color w:val="000000" w:themeColor="text1"/>
          <w:shd w:val="clear" w:color="auto" w:fill="FFFFFF"/>
          <w:lang w:val="en-US"/>
        </w:rPr>
        <w:t xml:space="preserve"> </w:t>
      </w:r>
      <w:proofErr w:type="spellStart"/>
      <w:r w:rsidRPr="00004507">
        <w:rPr>
          <w:rFonts w:ascii="Arial" w:hAnsi="Arial" w:cs="Arial"/>
          <w:iCs/>
          <w:color w:val="000000" w:themeColor="text1"/>
          <w:shd w:val="clear" w:color="auto" w:fill="FFFFFF"/>
          <w:lang w:val="en-US"/>
        </w:rPr>
        <w:t>Ophthalmol</w:t>
      </w:r>
      <w:proofErr w:type="spellEnd"/>
      <w:r w:rsidRPr="00004507">
        <w:rPr>
          <w:rFonts w:ascii="Arial" w:hAnsi="Arial" w:cs="Arial"/>
          <w:iCs/>
          <w:color w:val="000000" w:themeColor="text1"/>
          <w:shd w:val="clear" w:color="auto" w:fill="FFFFFF"/>
          <w:lang w:val="en-US"/>
        </w:rPr>
        <w:t xml:space="preserve"> </w:t>
      </w:r>
      <w:proofErr w:type="spellStart"/>
      <w:r w:rsidRPr="00004507">
        <w:rPr>
          <w:rFonts w:ascii="Arial" w:hAnsi="Arial" w:cs="Arial"/>
          <w:iCs/>
          <w:color w:val="000000" w:themeColor="text1"/>
          <w:shd w:val="clear" w:color="auto" w:fill="FFFFFF"/>
          <w:lang w:val="en-US"/>
        </w:rPr>
        <w:t>Suppl</w:t>
      </w:r>
      <w:proofErr w:type="spellEnd"/>
      <w:r w:rsidRPr="00004507">
        <w:rPr>
          <w:rFonts w:ascii="Arial" w:hAnsi="Arial" w:cs="Arial"/>
          <w:color w:val="000000" w:themeColor="text1"/>
          <w:shd w:val="clear" w:color="auto" w:fill="FFFFFF"/>
          <w:lang w:val="en-US"/>
        </w:rPr>
        <w:t xml:space="preserve"> 184:86-89.</w:t>
      </w:r>
    </w:p>
    <w:p w14:paraId="2F872B0C"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bCs/>
          <w:color w:val="000000" w:themeColor="text1"/>
          <w:shd w:val="clear" w:color="auto" w:fill="FFFFFF"/>
          <w:lang w:val="en-US"/>
        </w:rPr>
        <w:t>https://doi.org/10.1111/j.1755-3768.1988.tb02634.x</w:t>
      </w:r>
    </w:p>
    <w:p w14:paraId="6F8B2713"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shd w:val="clear" w:color="auto" w:fill="FFFFFF"/>
          <w:lang w:val="en-US"/>
        </w:rPr>
        <w:t>Grødum</w:t>
      </w:r>
      <w:proofErr w:type="spellEnd"/>
      <w:r w:rsidRPr="00004507">
        <w:rPr>
          <w:rFonts w:ascii="Arial" w:hAnsi="Arial" w:cs="Arial"/>
          <w:color w:val="000000" w:themeColor="text1"/>
          <w:shd w:val="clear" w:color="auto" w:fill="FFFFFF"/>
          <w:lang w:val="en-US"/>
        </w:rPr>
        <w:t xml:space="preserve"> K, </w:t>
      </w:r>
      <w:proofErr w:type="spellStart"/>
      <w:r w:rsidRPr="00004507">
        <w:rPr>
          <w:rFonts w:ascii="Arial" w:hAnsi="Arial" w:cs="Arial"/>
          <w:color w:val="000000" w:themeColor="text1"/>
          <w:shd w:val="clear" w:color="auto" w:fill="FFFFFF"/>
          <w:lang w:val="en-US"/>
        </w:rPr>
        <w:t>Heijl</w:t>
      </w:r>
      <w:proofErr w:type="spellEnd"/>
      <w:r w:rsidRPr="00004507">
        <w:rPr>
          <w:rFonts w:ascii="Arial" w:hAnsi="Arial" w:cs="Arial"/>
          <w:color w:val="000000" w:themeColor="text1"/>
          <w:shd w:val="clear" w:color="auto" w:fill="FFFFFF"/>
          <w:lang w:val="en-US"/>
        </w:rPr>
        <w:t xml:space="preserve"> A, </w:t>
      </w:r>
      <w:proofErr w:type="spellStart"/>
      <w:r w:rsidRPr="00004507">
        <w:rPr>
          <w:rFonts w:ascii="Arial" w:hAnsi="Arial" w:cs="Arial"/>
          <w:color w:val="000000" w:themeColor="text1"/>
          <w:shd w:val="clear" w:color="auto" w:fill="FFFFFF"/>
          <w:lang w:val="en-US"/>
        </w:rPr>
        <w:t>Bengtsson</w:t>
      </w:r>
      <w:proofErr w:type="spellEnd"/>
      <w:r w:rsidRPr="00004507">
        <w:rPr>
          <w:rFonts w:ascii="Arial" w:hAnsi="Arial" w:cs="Arial"/>
          <w:color w:val="000000" w:themeColor="text1"/>
          <w:shd w:val="clear" w:color="auto" w:fill="FFFFFF"/>
          <w:lang w:val="en-US"/>
        </w:rPr>
        <w:t xml:space="preserve"> B (2005) Risk of glaucoma in ocular hypertension with and without pseudoexfoliation. </w:t>
      </w:r>
      <w:r w:rsidRPr="00004507">
        <w:rPr>
          <w:rFonts w:ascii="Arial" w:hAnsi="Arial" w:cs="Arial"/>
          <w:iCs/>
          <w:color w:val="000000" w:themeColor="text1"/>
          <w:shd w:val="clear" w:color="auto" w:fill="FFFFFF"/>
          <w:lang w:val="en-US"/>
        </w:rPr>
        <w:t>Ophthalmology 112</w:t>
      </w:r>
      <w:r w:rsidRPr="00004507">
        <w:rPr>
          <w:rFonts w:ascii="Arial" w:hAnsi="Arial" w:cs="Arial"/>
          <w:color w:val="000000" w:themeColor="text1"/>
          <w:shd w:val="clear" w:color="auto" w:fill="FFFFFF"/>
          <w:lang w:val="en-US"/>
        </w:rPr>
        <w:t>(3):386-390.</w:t>
      </w:r>
    </w:p>
    <w:p w14:paraId="486706B1"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https://doi.org/10.1016/j.ophtha.2004.09.024</w:t>
      </w:r>
    </w:p>
    <w:p w14:paraId="33787D0F"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shd w:val="clear" w:color="auto" w:fill="FFFFFF"/>
          <w:lang w:val="en-US"/>
        </w:rPr>
        <w:t>Jeng</w:t>
      </w:r>
      <w:proofErr w:type="spellEnd"/>
      <w:r w:rsidRPr="00004507">
        <w:rPr>
          <w:rFonts w:ascii="Arial" w:hAnsi="Arial" w:cs="Arial"/>
          <w:color w:val="000000" w:themeColor="text1"/>
          <w:shd w:val="clear" w:color="auto" w:fill="FFFFFF"/>
          <w:lang w:val="en-US"/>
        </w:rPr>
        <w:t xml:space="preserve"> SM, </w:t>
      </w:r>
      <w:proofErr w:type="spellStart"/>
      <w:r w:rsidRPr="00004507">
        <w:rPr>
          <w:rFonts w:ascii="Arial" w:hAnsi="Arial" w:cs="Arial"/>
          <w:color w:val="000000" w:themeColor="text1"/>
          <w:shd w:val="clear" w:color="auto" w:fill="FFFFFF"/>
          <w:lang w:val="en-US"/>
        </w:rPr>
        <w:t>Karger</w:t>
      </w:r>
      <w:proofErr w:type="spellEnd"/>
      <w:r w:rsidRPr="00004507">
        <w:rPr>
          <w:rFonts w:ascii="Arial" w:hAnsi="Arial" w:cs="Arial"/>
          <w:color w:val="000000" w:themeColor="text1"/>
          <w:shd w:val="clear" w:color="auto" w:fill="FFFFFF"/>
          <w:lang w:val="en-US"/>
        </w:rPr>
        <w:t xml:space="preserve"> RA, Hodge DO, Burke JP, Johnson DH, Good MS (2007) The risk of glaucoma in pseudoexfoliation syndrome. </w:t>
      </w:r>
      <w:r w:rsidRPr="00004507">
        <w:rPr>
          <w:rFonts w:ascii="Arial" w:hAnsi="Arial" w:cs="Arial"/>
          <w:iCs/>
          <w:color w:val="000000" w:themeColor="text1"/>
          <w:shd w:val="clear" w:color="auto" w:fill="FFFFFF"/>
          <w:lang w:val="en-US"/>
        </w:rPr>
        <w:t>J Glaucoma</w:t>
      </w:r>
      <w:r w:rsidRPr="00004507">
        <w:rPr>
          <w:rFonts w:ascii="Arial" w:hAnsi="Arial" w:cs="Arial"/>
          <w:color w:val="000000" w:themeColor="text1"/>
          <w:shd w:val="clear" w:color="auto" w:fill="FFFFFF"/>
          <w:lang w:val="en-US"/>
        </w:rPr>
        <w:t xml:space="preserve"> </w:t>
      </w:r>
      <w:r w:rsidRPr="00004507">
        <w:rPr>
          <w:rFonts w:ascii="Arial" w:hAnsi="Arial" w:cs="Arial"/>
          <w:iCs/>
          <w:color w:val="000000" w:themeColor="text1"/>
          <w:shd w:val="clear" w:color="auto" w:fill="FFFFFF"/>
          <w:lang w:val="en-US"/>
        </w:rPr>
        <w:t>16</w:t>
      </w:r>
      <w:r w:rsidRPr="00004507">
        <w:rPr>
          <w:rFonts w:ascii="Arial" w:hAnsi="Arial" w:cs="Arial"/>
          <w:color w:val="000000" w:themeColor="text1"/>
          <w:shd w:val="clear" w:color="auto" w:fill="FFFFFF"/>
          <w:lang w:val="en-US"/>
        </w:rPr>
        <w:t xml:space="preserve">(1):117-121. </w:t>
      </w:r>
    </w:p>
    <w:p w14:paraId="30626A3D" w14:textId="7F81615C" w:rsidR="00DB7DF3" w:rsidRPr="00004507" w:rsidRDefault="00DB7DF3" w:rsidP="00DB7DF3">
      <w:pPr>
        <w:pStyle w:val="ListeParagraf"/>
        <w:shd w:val="clear" w:color="auto" w:fill="FFFFFF"/>
        <w:spacing w:before="120" w:after="0" w:line="240" w:lineRule="auto"/>
        <w:ind w:left="709"/>
        <w:jc w:val="both"/>
        <w:rPr>
          <w:rFonts w:ascii="Arial" w:hAnsi="Arial" w:cs="Arial"/>
          <w:lang w:val="en-US"/>
        </w:rPr>
      </w:pPr>
      <w:r w:rsidRPr="00004507">
        <w:rPr>
          <w:rFonts w:ascii="Arial" w:hAnsi="Arial" w:cs="Arial"/>
        </w:rPr>
        <w:t>https://doi.org/</w:t>
      </w:r>
      <w:proofErr w:type="gramStart"/>
      <w:r w:rsidRPr="00004507">
        <w:rPr>
          <w:rFonts w:ascii="Arial" w:hAnsi="Arial" w:cs="Arial"/>
        </w:rPr>
        <w:t>10.1016</w:t>
      </w:r>
      <w:proofErr w:type="gramEnd"/>
      <w:r w:rsidRPr="00004507">
        <w:rPr>
          <w:rFonts w:ascii="Arial" w:hAnsi="Arial" w:cs="Arial"/>
        </w:rPr>
        <w:t>/j.sjopt.2011.07.001</w:t>
      </w:r>
    </w:p>
    <w:p w14:paraId="4A926C11"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Koliakos</w:t>
      </w:r>
      <w:proofErr w:type="spellEnd"/>
      <w:r w:rsidRPr="00004507">
        <w:rPr>
          <w:rFonts w:ascii="Arial" w:hAnsi="Arial" w:cs="Arial"/>
          <w:color w:val="000000" w:themeColor="text1"/>
          <w:lang w:val="en-US"/>
        </w:rPr>
        <w:t xml:space="preserve"> GG, </w:t>
      </w:r>
      <w:proofErr w:type="spellStart"/>
      <w:r w:rsidRPr="00004507">
        <w:rPr>
          <w:rFonts w:ascii="Arial" w:hAnsi="Arial" w:cs="Arial"/>
          <w:color w:val="000000" w:themeColor="text1"/>
          <w:lang w:val="en-US"/>
        </w:rPr>
        <w:t>Konstas</w:t>
      </w:r>
      <w:proofErr w:type="spellEnd"/>
      <w:r w:rsidRPr="00004507">
        <w:rPr>
          <w:rFonts w:ascii="Arial" w:hAnsi="Arial" w:cs="Arial"/>
          <w:color w:val="000000" w:themeColor="text1"/>
          <w:lang w:val="en-US"/>
        </w:rPr>
        <w:t xml:space="preserve"> AGP, </w:t>
      </w:r>
      <w:proofErr w:type="spellStart"/>
      <w:r w:rsidRPr="00004507">
        <w:rPr>
          <w:rFonts w:ascii="Arial" w:hAnsi="Arial" w:cs="Arial"/>
          <w:color w:val="000000" w:themeColor="text1"/>
          <w:lang w:val="en-US"/>
        </w:rPr>
        <w:t>Schlotzer-Schrehardt</w:t>
      </w:r>
      <w:proofErr w:type="spellEnd"/>
      <w:r w:rsidRPr="00004507">
        <w:rPr>
          <w:rFonts w:ascii="Arial" w:hAnsi="Arial" w:cs="Arial"/>
          <w:color w:val="000000" w:themeColor="text1"/>
          <w:lang w:val="en-US"/>
        </w:rPr>
        <w:t xml:space="preserve"> U, </w:t>
      </w:r>
      <w:proofErr w:type="spellStart"/>
      <w:r w:rsidRPr="00004507">
        <w:rPr>
          <w:rFonts w:ascii="Arial" w:hAnsi="Arial" w:cs="Arial"/>
          <w:color w:val="000000" w:themeColor="text1"/>
          <w:shd w:val="clear" w:color="auto" w:fill="FFFFFF"/>
          <w:lang w:val="en-US"/>
        </w:rPr>
        <w:t>Bufidis</w:t>
      </w:r>
      <w:proofErr w:type="spellEnd"/>
      <w:r w:rsidRPr="00004507">
        <w:rPr>
          <w:rFonts w:ascii="Arial" w:hAnsi="Arial" w:cs="Arial"/>
          <w:color w:val="000000" w:themeColor="text1"/>
          <w:shd w:val="clear" w:color="auto" w:fill="FFFFFF"/>
          <w:lang w:val="en-US"/>
        </w:rPr>
        <w:t xml:space="preserve"> T</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Georgiadis</w:t>
      </w:r>
      <w:proofErr w:type="spellEnd"/>
      <w:r w:rsidRPr="00004507">
        <w:rPr>
          <w:rFonts w:ascii="Arial" w:hAnsi="Arial" w:cs="Arial"/>
          <w:color w:val="000000" w:themeColor="text1"/>
          <w:shd w:val="clear" w:color="auto" w:fill="FFFFFF"/>
          <w:lang w:val="en-US"/>
        </w:rPr>
        <w:t xml:space="preserve"> N</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Ringvold</w:t>
      </w:r>
      <w:proofErr w:type="spellEnd"/>
      <w:r w:rsidRPr="00004507">
        <w:rPr>
          <w:rFonts w:ascii="Arial" w:hAnsi="Arial" w:cs="Arial"/>
          <w:color w:val="000000" w:themeColor="text1"/>
          <w:shd w:val="clear" w:color="auto" w:fill="FFFFFF"/>
          <w:lang w:val="en-US"/>
        </w:rPr>
        <w:t xml:space="preserve"> A</w:t>
      </w:r>
      <w:r w:rsidRPr="00004507">
        <w:rPr>
          <w:rFonts w:ascii="Arial" w:hAnsi="Arial" w:cs="Arial"/>
          <w:color w:val="000000" w:themeColor="text1"/>
          <w:lang w:val="en-US"/>
        </w:rPr>
        <w:t xml:space="preserve"> (2002) Ascorbic acid concentration is reduced in the aqueous humor of patients with exfoliation syndrome. Am J </w:t>
      </w:r>
      <w:proofErr w:type="spellStart"/>
      <w:r w:rsidRPr="00004507">
        <w:rPr>
          <w:rFonts w:ascii="Arial" w:hAnsi="Arial" w:cs="Arial"/>
          <w:color w:val="000000" w:themeColor="text1"/>
          <w:lang w:val="en-US"/>
        </w:rPr>
        <w:t>Ophthalmol</w:t>
      </w:r>
      <w:proofErr w:type="spellEnd"/>
      <w:r w:rsidRPr="00004507">
        <w:rPr>
          <w:rFonts w:ascii="Arial" w:hAnsi="Arial" w:cs="Arial"/>
          <w:color w:val="000000" w:themeColor="text1"/>
          <w:lang w:val="en-US"/>
        </w:rPr>
        <w:t xml:space="preserve"> 134:879-883 </w:t>
      </w:r>
    </w:p>
    <w:p w14:paraId="6E48B412"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https://doi.org/10.1016/S0002-</w:t>
      </w:r>
      <w:proofErr w:type="gramStart"/>
      <w:r w:rsidRPr="00004507">
        <w:rPr>
          <w:rFonts w:ascii="Arial" w:hAnsi="Arial" w:cs="Arial"/>
          <w:color w:val="000000" w:themeColor="text1"/>
          <w:lang w:val="en-US"/>
        </w:rPr>
        <w:t>9394(</w:t>
      </w:r>
      <w:proofErr w:type="gramEnd"/>
      <w:r w:rsidRPr="00004507">
        <w:rPr>
          <w:rFonts w:ascii="Arial" w:hAnsi="Arial" w:cs="Arial"/>
          <w:color w:val="000000" w:themeColor="text1"/>
          <w:lang w:val="en-US"/>
        </w:rPr>
        <w:t>02)01797-X</w:t>
      </w:r>
    </w:p>
    <w:p w14:paraId="763105F4"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Funatsu</w:t>
      </w:r>
      <w:proofErr w:type="spellEnd"/>
      <w:r w:rsidRPr="00004507">
        <w:rPr>
          <w:rFonts w:ascii="Arial" w:hAnsi="Arial" w:cs="Arial"/>
          <w:color w:val="000000" w:themeColor="text1"/>
          <w:lang w:val="en-US"/>
        </w:rPr>
        <w:t xml:space="preserve"> H, Yamashita H, Ikeda T, Mimura T, </w:t>
      </w:r>
      <w:proofErr w:type="spellStart"/>
      <w:r w:rsidRPr="00004507">
        <w:rPr>
          <w:rFonts w:ascii="Arial" w:hAnsi="Arial" w:cs="Arial"/>
          <w:color w:val="000000" w:themeColor="text1"/>
          <w:lang w:val="en-US"/>
        </w:rPr>
        <w:t>Eguchi</w:t>
      </w:r>
      <w:proofErr w:type="spellEnd"/>
      <w:r w:rsidRPr="00004507">
        <w:rPr>
          <w:rFonts w:ascii="Arial" w:hAnsi="Arial" w:cs="Arial"/>
          <w:color w:val="000000" w:themeColor="text1"/>
          <w:lang w:val="en-US"/>
        </w:rPr>
        <w:t xml:space="preserve"> S, Hori S (2003) Vitreous levels of interleukin-6 and vascular endothelial growth factor are related to diabetic macular edema. Ophthalmology 110(9):1690-1696. </w:t>
      </w:r>
    </w:p>
    <w:p w14:paraId="51BE65BD"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https://doi.org/10.1016/S0161-</w:t>
      </w:r>
      <w:proofErr w:type="gramStart"/>
      <w:r w:rsidRPr="00004507">
        <w:rPr>
          <w:rFonts w:ascii="Arial" w:hAnsi="Arial" w:cs="Arial"/>
          <w:color w:val="000000" w:themeColor="text1"/>
          <w:lang w:val="en-US"/>
        </w:rPr>
        <w:t>6420(</w:t>
      </w:r>
      <w:proofErr w:type="gramEnd"/>
      <w:r w:rsidRPr="00004507">
        <w:rPr>
          <w:rFonts w:ascii="Arial" w:hAnsi="Arial" w:cs="Arial"/>
          <w:color w:val="000000" w:themeColor="text1"/>
          <w:lang w:val="en-US"/>
        </w:rPr>
        <w:t>03)00568-2</w:t>
      </w:r>
    </w:p>
    <w:p w14:paraId="1051E67E"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eastAsia="AdvTimes" w:hAnsi="Arial" w:cs="Arial"/>
          <w:color w:val="000000" w:themeColor="text1"/>
          <w:lang w:val="en-US"/>
        </w:rPr>
        <w:t>Yilmaz</w:t>
      </w:r>
      <w:proofErr w:type="spellEnd"/>
      <w:r w:rsidRPr="00004507">
        <w:rPr>
          <w:rFonts w:ascii="Arial" w:eastAsia="AdvTimes" w:hAnsi="Arial" w:cs="Arial"/>
          <w:color w:val="000000" w:themeColor="text1"/>
          <w:lang w:val="en-US"/>
        </w:rPr>
        <w:t xml:space="preserve"> A, </w:t>
      </w:r>
      <w:proofErr w:type="spellStart"/>
      <w:r w:rsidRPr="00004507">
        <w:rPr>
          <w:rFonts w:ascii="Arial" w:eastAsia="AdvTimes" w:hAnsi="Arial" w:cs="Arial"/>
          <w:color w:val="000000" w:themeColor="text1"/>
          <w:lang w:val="en-US"/>
        </w:rPr>
        <w:t>Adiguzel</w:t>
      </w:r>
      <w:proofErr w:type="spellEnd"/>
      <w:r w:rsidRPr="00004507">
        <w:rPr>
          <w:rFonts w:ascii="Arial" w:eastAsia="AdvTimes" w:hAnsi="Arial" w:cs="Arial"/>
          <w:color w:val="000000" w:themeColor="text1"/>
          <w:lang w:val="en-US"/>
        </w:rPr>
        <w:t xml:space="preserve"> U, Tamer L,</w:t>
      </w:r>
      <w:r w:rsidRPr="00004507">
        <w:rPr>
          <w:rStyle w:val="apple-converted-space"/>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Yildirim</w:t>
      </w:r>
      <w:proofErr w:type="spellEnd"/>
      <w:r w:rsidRPr="00004507">
        <w:rPr>
          <w:rFonts w:ascii="Arial" w:hAnsi="Arial" w:cs="Arial"/>
          <w:color w:val="000000" w:themeColor="text1"/>
          <w:shd w:val="clear" w:color="auto" w:fill="FFFFFF"/>
          <w:lang w:val="en-US"/>
        </w:rPr>
        <w:t xml:space="preserve"> O</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r w:rsidRPr="00004507">
        <w:rPr>
          <w:rFonts w:ascii="Arial" w:hAnsi="Arial" w:cs="Arial"/>
          <w:color w:val="000000" w:themeColor="text1"/>
          <w:shd w:val="clear" w:color="auto" w:fill="FFFFFF"/>
          <w:lang w:val="en-US"/>
        </w:rPr>
        <w:t>Oz O</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Vatansever</w:t>
      </w:r>
      <w:proofErr w:type="spellEnd"/>
      <w:r w:rsidRPr="00004507">
        <w:rPr>
          <w:rFonts w:ascii="Arial" w:hAnsi="Arial" w:cs="Arial"/>
          <w:color w:val="000000" w:themeColor="text1"/>
          <w:shd w:val="clear" w:color="auto" w:fill="FFFFFF"/>
          <w:lang w:val="en-US"/>
        </w:rPr>
        <w:t xml:space="preserve"> H</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Ercan</w:t>
      </w:r>
      <w:proofErr w:type="spellEnd"/>
      <w:r w:rsidRPr="00004507">
        <w:rPr>
          <w:rFonts w:ascii="Arial" w:hAnsi="Arial" w:cs="Arial"/>
          <w:color w:val="000000" w:themeColor="text1"/>
          <w:shd w:val="clear" w:color="auto" w:fill="FFFFFF"/>
          <w:lang w:val="en-US"/>
        </w:rPr>
        <w:t xml:space="preserve"> B</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proofErr w:type="spellStart"/>
      <w:proofErr w:type="gramStart"/>
      <w:r w:rsidRPr="00004507">
        <w:rPr>
          <w:rFonts w:ascii="Arial" w:hAnsi="Arial" w:cs="Arial"/>
          <w:color w:val="000000" w:themeColor="text1"/>
          <w:shd w:val="clear" w:color="auto" w:fill="FFFFFF"/>
          <w:lang w:val="en-US"/>
        </w:rPr>
        <w:t>Değirmenci</w:t>
      </w:r>
      <w:proofErr w:type="spellEnd"/>
      <w:proofErr w:type="gramEnd"/>
      <w:r w:rsidRPr="00004507">
        <w:rPr>
          <w:rFonts w:ascii="Arial" w:hAnsi="Arial" w:cs="Arial"/>
          <w:color w:val="000000" w:themeColor="text1"/>
          <w:shd w:val="clear" w:color="auto" w:fill="FFFFFF"/>
          <w:lang w:val="en-US"/>
        </w:rPr>
        <w:t xml:space="preserve"> US</w:t>
      </w:r>
      <w:r w:rsidRPr="00004507">
        <w:rPr>
          <w:rFonts w:ascii="Arial" w:hAnsi="Arial" w:cs="Arial"/>
          <w:color w:val="000000" w:themeColor="text1"/>
          <w:lang w:val="en-US"/>
        </w:rPr>
        <w:t>,</w:t>
      </w:r>
      <w:r w:rsidRPr="00004507">
        <w:rPr>
          <w:rStyle w:val="apple-converted-space"/>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Atik</w:t>
      </w:r>
      <w:proofErr w:type="spellEnd"/>
      <w:r w:rsidRPr="00004507">
        <w:rPr>
          <w:rFonts w:ascii="Arial" w:hAnsi="Arial" w:cs="Arial"/>
          <w:color w:val="000000" w:themeColor="text1"/>
          <w:shd w:val="clear" w:color="auto" w:fill="FFFFFF"/>
          <w:lang w:val="en-US"/>
        </w:rPr>
        <w:t xml:space="preserve"> U</w:t>
      </w:r>
      <w:r w:rsidRPr="00004507">
        <w:rPr>
          <w:rFonts w:ascii="Arial" w:eastAsia="AdvTimes" w:hAnsi="Arial" w:cs="Arial"/>
          <w:color w:val="000000" w:themeColor="text1"/>
          <w:lang w:val="en-US"/>
        </w:rPr>
        <w:t xml:space="preserve"> (2005) Serum oxidant/antioxidant balance in exfoliation syndrome. </w:t>
      </w:r>
      <w:proofErr w:type="spellStart"/>
      <w:r w:rsidRPr="00004507">
        <w:rPr>
          <w:rFonts w:ascii="Arial" w:eastAsia="AdvTimes" w:hAnsi="Arial" w:cs="Arial"/>
          <w:color w:val="000000" w:themeColor="text1"/>
          <w:lang w:val="en-US"/>
        </w:rPr>
        <w:t>Clin</w:t>
      </w:r>
      <w:proofErr w:type="spellEnd"/>
      <w:r w:rsidRPr="00004507">
        <w:rPr>
          <w:rFonts w:ascii="Arial" w:eastAsia="AdvTimes" w:hAnsi="Arial" w:cs="Arial"/>
          <w:color w:val="000000" w:themeColor="text1"/>
          <w:lang w:val="en-US"/>
        </w:rPr>
        <w:t xml:space="preserve"> </w:t>
      </w:r>
      <w:proofErr w:type="spellStart"/>
      <w:r w:rsidRPr="00004507">
        <w:rPr>
          <w:rFonts w:ascii="Arial" w:eastAsia="AdvTimes" w:hAnsi="Arial" w:cs="Arial"/>
          <w:color w:val="000000" w:themeColor="text1"/>
          <w:lang w:val="en-US"/>
        </w:rPr>
        <w:t>Exp</w:t>
      </w:r>
      <w:proofErr w:type="spellEnd"/>
      <w:r w:rsidRPr="00004507">
        <w:rPr>
          <w:rFonts w:ascii="Arial" w:eastAsia="AdvTimes" w:hAnsi="Arial" w:cs="Arial"/>
          <w:color w:val="000000" w:themeColor="text1"/>
          <w:lang w:val="en-US"/>
        </w:rPr>
        <w:t xml:space="preserve"> </w:t>
      </w:r>
      <w:proofErr w:type="spellStart"/>
      <w:r w:rsidRPr="00004507">
        <w:rPr>
          <w:rFonts w:ascii="Arial" w:eastAsia="AdvTimes" w:hAnsi="Arial" w:cs="Arial"/>
          <w:color w:val="000000" w:themeColor="text1"/>
          <w:lang w:val="en-US"/>
        </w:rPr>
        <w:t>Ophthal</w:t>
      </w:r>
      <w:proofErr w:type="spellEnd"/>
      <w:r w:rsidRPr="00004507">
        <w:rPr>
          <w:rFonts w:ascii="Arial" w:eastAsia="AdvTimes" w:hAnsi="Arial" w:cs="Arial"/>
          <w:color w:val="000000" w:themeColor="text1"/>
          <w:lang w:val="en-US"/>
        </w:rPr>
        <w:t xml:space="preserve"> 33:63-66. </w:t>
      </w:r>
    </w:p>
    <w:p w14:paraId="310439A7"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https://doi.org/10.1111/j.1442-9071.2005.00944.x</w:t>
      </w:r>
    </w:p>
    <w:p w14:paraId="0A249942"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eastAsia="宋体 Bold" w:hAnsi="Arial" w:cs="Arial"/>
          <w:bCs/>
          <w:color w:val="000000" w:themeColor="text1"/>
          <w:spacing w:val="-1"/>
          <w:lang w:val="en-US"/>
        </w:rPr>
        <w:t>Gartaganis</w:t>
      </w:r>
      <w:proofErr w:type="spellEnd"/>
      <w:r w:rsidRPr="00004507">
        <w:rPr>
          <w:rFonts w:ascii="Arial" w:eastAsia="宋体 Bold" w:hAnsi="Arial" w:cs="Arial"/>
          <w:bCs/>
          <w:color w:val="000000" w:themeColor="text1"/>
          <w:spacing w:val="-1"/>
          <w:lang w:val="en-US"/>
        </w:rPr>
        <w:t xml:space="preserve"> SP,</w:t>
      </w:r>
      <w:r w:rsidRPr="00004507">
        <w:rPr>
          <w:rFonts w:ascii="Arial" w:eastAsia="宋体 Bold" w:hAnsi="Arial" w:cs="Arial"/>
          <w:color w:val="000000" w:themeColor="text1"/>
          <w:spacing w:val="-1"/>
          <w:lang w:val="en-US"/>
        </w:rPr>
        <w:t xml:space="preserve"> </w:t>
      </w:r>
      <w:proofErr w:type="spellStart"/>
      <w:r w:rsidRPr="00004507">
        <w:rPr>
          <w:rFonts w:ascii="Arial" w:eastAsia="宋体 Bold" w:hAnsi="Arial" w:cs="Arial"/>
          <w:color w:val="000000" w:themeColor="text1"/>
          <w:spacing w:val="-1"/>
          <w:lang w:val="en-US"/>
        </w:rPr>
        <w:t>Patsoukis</w:t>
      </w:r>
      <w:proofErr w:type="spellEnd"/>
      <w:r w:rsidRPr="00004507">
        <w:rPr>
          <w:rFonts w:ascii="Arial" w:eastAsia="宋体 Bold" w:hAnsi="Arial" w:cs="Arial"/>
          <w:color w:val="000000" w:themeColor="text1"/>
          <w:spacing w:val="-1"/>
          <w:lang w:val="en-US"/>
        </w:rPr>
        <w:t xml:space="preserve"> NE, </w:t>
      </w:r>
      <w:proofErr w:type="spellStart"/>
      <w:r w:rsidRPr="00004507">
        <w:rPr>
          <w:rFonts w:ascii="Arial" w:eastAsia="宋体 Bold" w:hAnsi="Arial" w:cs="Arial"/>
          <w:color w:val="000000" w:themeColor="text1"/>
          <w:spacing w:val="-1"/>
          <w:lang w:val="en-US"/>
        </w:rPr>
        <w:t>Nikolopoulos</w:t>
      </w:r>
      <w:proofErr w:type="spellEnd"/>
      <w:r w:rsidRPr="00004507">
        <w:rPr>
          <w:rFonts w:ascii="Arial" w:eastAsia="宋体 Bold" w:hAnsi="Arial" w:cs="Arial"/>
          <w:color w:val="000000" w:themeColor="text1"/>
          <w:spacing w:val="-1"/>
          <w:lang w:val="en-US"/>
        </w:rPr>
        <w:t xml:space="preserve"> DK, Georgiou CD (2007) Evidence for oxidative stress in lens epithelial cells in pseudoexfoliation syndrome. </w:t>
      </w:r>
      <w:r w:rsidRPr="00004507">
        <w:rPr>
          <w:rFonts w:ascii="Arial" w:eastAsia="宋体 Bold" w:hAnsi="Arial" w:cs="Arial"/>
          <w:iCs/>
          <w:color w:val="000000" w:themeColor="text1"/>
          <w:spacing w:val="-1"/>
          <w:lang w:val="en-US"/>
        </w:rPr>
        <w:t xml:space="preserve">Eye </w:t>
      </w:r>
      <w:r w:rsidRPr="00004507">
        <w:rPr>
          <w:rFonts w:ascii="Arial" w:eastAsia="宋体 Bold" w:hAnsi="Arial" w:cs="Arial"/>
          <w:color w:val="000000" w:themeColor="text1"/>
          <w:spacing w:val="-1"/>
          <w:lang w:val="en-US"/>
        </w:rPr>
        <w:t>(</w:t>
      </w:r>
      <w:proofErr w:type="spellStart"/>
      <w:r w:rsidRPr="00004507">
        <w:rPr>
          <w:rFonts w:ascii="Arial" w:eastAsia="宋体 Bold" w:hAnsi="Arial" w:cs="Arial"/>
          <w:color w:val="000000" w:themeColor="text1"/>
          <w:spacing w:val="-1"/>
          <w:lang w:val="en-US"/>
        </w:rPr>
        <w:t>Lond</w:t>
      </w:r>
      <w:proofErr w:type="spellEnd"/>
      <w:r w:rsidRPr="00004507">
        <w:rPr>
          <w:rFonts w:ascii="Arial" w:eastAsia="宋体 Bold" w:hAnsi="Arial" w:cs="Arial"/>
          <w:color w:val="000000" w:themeColor="text1"/>
          <w:spacing w:val="-1"/>
          <w:lang w:val="en-US"/>
        </w:rPr>
        <w:t xml:space="preserve">) </w:t>
      </w:r>
      <w:r w:rsidRPr="00004507">
        <w:rPr>
          <w:rFonts w:ascii="Arial" w:eastAsia="宋体 Bold" w:hAnsi="Arial" w:cs="Arial"/>
          <w:bCs/>
          <w:color w:val="000000" w:themeColor="text1"/>
          <w:spacing w:val="-1"/>
          <w:lang w:val="en-US"/>
        </w:rPr>
        <w:t>21(11):</w:t>
      </w:r>
      <w:r w:rsidRPr="00004507">
        <w:rPr>
          <w:rFonts w:ascii="Arial" w:eastAsia="宋体 Bold" w:hAnsi="Arial" w:cs="Arial"/>
          <w:color w:val="000000" w:themeColor="text1"/>
          <w:spacing w:val="-1"/>
          <w:lang w:val="en-US"/>
        </w:rPr>
        <w:t>1406-11.</w:t>
      </w:r>
    </w:p>
    <w:p w14:paraId="3918276F"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https://doi.org/10.1038/sj.eye.6702596</w:t>
      </w:r>
    </w:p>
    <w:p w14:paraId="6EAD987A"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Koliakos</w:t>
      </w:r>
      <w:proofErr w:type="spellEnd"/>
      <w:r w:rsidRPr="00004507">
        <w:rPr>
          <w:rFonts w:ascii="Arial" w:hAnsi="Arial" w:cs="Arial"/>
          <w:color w:val="000000" w:themeColor="text1"/>
          <w:lang w:val="en-US"/>
        </w:rPr>
        <w:t xml:space="preserve"> GG, </w:t>
      </w:r>
      <w:proofErr w:type="spellStart"/>
      <w:r w:rsidRPr="00004507">
        <w:rPr>
          <w:rFonts w:ascii="Arial" w:hAnsi="Arial" w:cs="Arial"/>
          <w:color w:val="000000" w:themeColor="text1"/>
          <w:lang w:val="en-US"/>
        </w:rPr>
        <w:t>Befani</w:t>
      </w:r>
      <w:proofErr w:type="spellEnd"/>
      <w:r w:rsidRPr="00004507">
        <w:rPr>
          <w:rFonts w:ascii="Arial" w:hAnsi="Arial" w:cs="Arial"/>
          <w:color w:val="000000" w:themeColor="text1"/>
          <w:lang w:val="en-US"/>
        </w:rPr>
        <w:t xml:space="preserve"> CD, </w:t>
      </w:r>
      <w:proofErr w:type="spellStart"/>
      <w:r w:rsidRPr="00004507">
        <w:rPr>
          <w:rFonts w:ascii="Arial" w:hAnsi="Arial" w:cs="Arial"/>
          <w:color w:val="000000" w:themeColor="text1"/>
          <w:lang w:val="en-US"/>
        </w:rPr>
        <w:t>Mikropoulos</w:t>
      </w:r>
      <w:proofErr w:type="spellEnd"/>
      <w:r w:rsidRPr="00004507">
        <w:rPr>
          <w:rFonts w:ascii="Arial" w:hAnsi="Arial" w:cs="Arial"/>
          <w:color w:val="000000" w:themeColor="text1"/>
          <w:lang w:val="en-US"/>
        </w:rPr>
        <w:t xml:space="preserve"> D, </w:t>
      </w:r>
      <w:proofErr w:type="spellStart"/>
      <w:r w:rsidRPr="00004507">
        <w:rPr>
          <w:rFonts w:ascii="Arial" w:hAnsi="Arial" w:cs="Arial"/>
          <w:color w:val="000000" w:themeColor="text1"/>
          <w:lang w:val="en-US"/>
        </w:rPr>
        <w:t>Ziakas</w:t>
      </w:r>
      <w:proofErr w:type="spellEnd"/>
      <w:r w:rsidRPr="00004507">
        <w:rPr>
          <w:rFonts w:ascii="Arial" w:hAnsi="Arial" w:cs="Arial"/>
          <w:color w:val="000000" w:themeColor="text1"/>
          <w:lang w:val="en-US"/>
        </w:rPr>
        <w:t xml:space="preserve"> NG, </w:t>
      </w:r>
      <w:proofErr w:type="spellStart"/>
      <w:r w:rsidRPr="00004507">
        <w:rPr>
          <w:rFonts w:ascii="Arial" w:hAnsi="Arial" w:cs="Arial"/>
          <w:color w:val="000000" w:themeColor="text1"/>
          <w:lang w:val="en-US"/>
        </w:rPr>
        <w:t>Konstas</w:t>
      </w:r>
      <w:proofErr w:type="spellEnd"/>
      <w:r w:rsidRPr="00004507">
        <w:rPr>
          <w:rFonts w:ascii="Arial" w:hAnsi="Arial" w:cs="Arial"/>
          <w:color w:val="000000" w:themeColor="text1"/>
          <w:lang w:val="en-US"/>
        </w:rPr>
        <w:t xml:space="preserve"> AG (2008) </w:t>
      </w:r>
      <w:proofErr w:type="spellStart"/>
      <w:r w:rsidRPr="00004507">
        <w:rPr>
          <w:rFonts w:ascii="Arial" w:hAnsi="Arial" w:cs="Arial"/>
          <w:color w:val="000000" w:themeColor="text1"/>
          <w:lang w:val="en-US"/>
        </w:rPr>
        <w:t>Prooxidant</w:t>
      </w:r>
      <w:proofErr w:type="spellEnd"/>
      <w:r w:rsidRPr="00004507">
        <w:rPr>
          <w:rFonts w:ascii="Arial" w:hAnsi="Arial" w:cs="Arial"/>
          <w:color w:val="000000" w:themeColor="text1"/>
          <w:lang w:val="en-US"/>
        </w:rPr>
        <w:t xml:space="preserve">-antioxidant balance, peroxide and catalase activity in the aqueous </w:t>
      </w:r>
      <w:proofErr w:type="spellStart"/>
      <w:r w:rsidRPr="00004507">
        <w:rPr>
          <w:rFonts w:ascii="Arial" w:hAnsi="Arial" w:cs="Arial"/>
          <w:color w:val="000000" w:themeColor="text1"/>
          <w:lang w:val="en-US"/>
        </w:rPr>
        <w:t>humour</w:t>
      </w:r>
      <w:proofErr w:type="spellEnd"/>
      <w:r w:rsidRPr="00004507">
        <w:rPr>
          <w:rFonts w:ascii="Arial" w:hAnsi="Arial" w:cs="Arial"/>
          <w:color w:val="000000" w:themeColor="text1"/>
          <w:lang w:val="en-US"/>
        </w:rPr>
        <w:t xml:space="preserve"> and serum of patients with exfoliation syndrome or </w:t>
      </w:r>
      <w:proofErr w:type="spellStart"/>
      <w:r w:rsidRPr="00004507">
        <w:rPr>
          <w:rFonts w:ascii="Arial" w:hAnsi="Arial" w:cs="Arial"/>
          <w:color w:val="000000" w:themeColor="text1"/>
          <w:lang w:val="en-US"/>
        </w:rPr>
        <w:t>exfoliative</w:t>
      </w:r>
      <w:proofErr w:type="spellEnd"/>
      <w:r w:rsidRPr="00004507">
        <w:rPr>
          <w:rFonts w:ascii="Arial" w:hAnsi="Arial" w:cs="Arial"/>
          <w:color w:val="000000" w:themeColor="text1"/>
          <w:lang w:val="en-US"/>
        </w:rPr>
        <w:t xml:space="preserve"> glaucoma. </w:t>
      </w:r>
      <w:proofErr w:type="spellStart"/>
      <w:r w:rsidRPr="00004507">
        <w:rPr>
          <w:rFonts w:ascii="Arial" w:hAnsi="Arial" w:cs="Arial"/>
          <w:color w:val="000000" w:themeColor="text1"/>
          <w:lang w:val="en-US"/>
        </w:rPr>
        <w:t>Graefes</w:t>
      </w:r>
      <w:proofErr w:type="spellEnd"/>
      <w:r w:rsidRPr="00004507">
        <w:rPr>
          <w:rFonts w:ascii="Arial" w:hAnsi="Arial" w:cs="Arial"/>
          <w:color w:val="000000" w:themeColor="text1"/>
          <w:lang w:val="en-US"/>
        </w:rPr>
        <w:t xml:space="preserve"> Arch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Exp</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Ophthalmol</w:t>
      </w:r>
      <w:proofErr w:type="spellEnd"/>
      <w:r w:rsidRPr="00004507">
        <w:rPr>
          <w:rFonts w:ascii="Arial" w:hAnsi="Arial" w:cs="Arial"/>
          <w:color w:val="000000" w:themeColor="text1"/>
          <w:lang w:val="en-US"/>
        </w:rPr>
        <w:t xml:space="preserve"> 246(10):1477-83. </w:t>
      </w:r>
    </w:p>
    <w:p w14:paraId="14BF6148"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10.1007/s00417-008-0871-y</w:t>
      </w:r>
    </w:p>
    <w:p w14:paraId="0D03BC6F"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eastAsia="TimesNewRomanPSMT" w:hAnsi="Arial" w:cs="Arial"/>
          <w:color w:val="000000" w:themeColor="text1"/>
          <w:lang w:val="en-US"/>
        </w:rPr>
        <w:t>Yağci</w:t>
      </w:r>
      <w:proofErr w:type="spellEnd"/>
      <w:r w:rsidRPr="00004507">
        <w:rPr>
          <w:rFonts w:ascii="Arial" w:eastAsia="TimesNewRomanPSMT" w:hAnsi="Arial" w:cs="Arial"/>
          <w:color w:val="000000" w:themeColor="text1"/>
          <w:lang w:val="en-US"/>
        </w:rPr>
        <w:t xml:space="preserve"> R, </w:t>
      </w:r>
      <w:proofErr w:type="spellStart"/>
      <w:r w:rsidRPr="00004507">
        <w:rPr>
          <w:rFonts w:ascii="Arial" w:eastAsia="TimesNewRomanPSMT" w:hAnsi="Arial" w:cs="Arial"/>
          <w:color w:val="000000" w:themeColor="text1"/>
          <w:lang w:val="en-US"/>
        </w:rPr>
        <w:t>Gürel</w:t>
      </w:r>
      <w:proofErr w:type="spellEnd"/>
      <w:r w:rsidRPr="00004507">
        <w:rPr>
          <w:rFonts w:ascii="Arial" w:eastAsia="TimesNewRomanPSMT" w:hAnsi="Arial" w:cs="Arial"/>
          <w:color w:val="000000" w:themeColor="text1"/>
          <w:lang w:val="en-US"/>
        </w:rPr>
        <w:t xml:space="preserve"> A, </w:t>
      </w:r>
      <w:proofErr w:type="spellStart"/>
      <w:r w:rsidRPr="00004507">
        <w:rPr>
          <w:rFonts w:ascii="Arial" w:eastAsia="TimesNewRomanPSMT" w:hAnsi="Arial" w:cs="Arial"/>
          <w:color w:val="000000" w:themeColor="text1"/>
          <w:lang w:val="en-US"/>
        </w:rPr>
        <w:t>Ersöz</w:t>
      </w:r>
      <w:proofErr w:type="spellEnd"/>
      <w:r w:rsidRPr="00004507">
        <w:rPr>
          <w:rFonts w:ascii="Arial" w:eastAsia="TimesNewRomanPSMT" w:hAnsi="Arial" w:cs="Arial"/>
          <w:color w:val="000000" w:themeColor="text1"/>
          <w:lang w:val="en-US"/>
        </w:rPr>
        <w:t xml:space="preserve"> I, </w:t>
      </w:r>
      <w:proofErr w:type="spellStart"/>
      <w:r w:rsidRPr="00004507">
        <w:rPr>
          <w:rFonts w:ascii="Arial" w:eastAsia="TimesNewRomanPSMT" w:hAnsi="Arial" w:cs="Arial"/>
          <w:color w:val="000000" w:themeColor="text1"/>
          <w:lang w:val="en-US"/>
        </w:rPr>
        <w:t>Karadağ</w:t>
      </w:r>
      <w:proofErr w:type="spellEnd"/>
      <w:r w:rsidRPr="00004507">
        <w:rPr>
          <w:rFonts w:ascii="Arial" w:eastAsia="TimesNewRomanPSMT" w:hAnsi="Arial" w:cs="Arial"/>
          <w:color w:val="000000" w:themeColor="text1"/>
          <w:lang w:val="en-US"/>
        </w:rPr>
        <w:t xml:space="preserve"> R, </w:t>
      </w:r>
      <w:proofErr w:type="spellStart"/>
      <w:r w:rsidRPr="00004507">
        <w:rPr>
          <w:rFonts w:ascii="Arial" w:eastAsia="TimesNewRomanPSMT" w:hAnsi="Arial" w:cs="Arial"/>
          <w:color w:val="000000" w:themeColor="text1"/>
          <w:lang w:val="en-US"/>
        </w:rPr>
        <w:t>Hepşen</w:t>
      </w:r>
      <w:proofErr w:type="spellEnd"/>
      <w:r w:rsidRPr="00004507">
        <w:rPr>
          <w:rFonts w:ascii="Arial" w:eastAsia="TimesNewRomanPSMT" w:hAnsi="Arial" w:cs="Arial"/>
          <w:color w:val="000000" w:themeColor="text1"/>
          <w:lang w:val="en-US"/>
        </w:rPr>
        <w:t xml:space="preserve"> IF, </w:t>
      </w:r>
      <w:proofErr w:type="spellStart"/>
      <w:r w:rsidRPr="00004507">
        <w:rPr>
          <w:rFonts w:ascii="Arial" w:eastAsia="TimesNewRomanPSMT" w:hAnsi="Arial" w:cs="Arial"/>
          <w:color w:val="000000" w:themeColor="text1"/>
          <w:lang w:val="en-US"/>
        </w:rPr>
        <w:t>Duman</w:t>
      </w:r>
      <w:proofErr w:type="spellEnd"/>
      <w:r w:rsidRPr="00004507">
        <w:rPr>
          <w:rFonts w:ascii="Arial" w:eastAsia="TimesNewRomanPSMT" w:hAnsi="Arial" w:cs="Arial"/>
          <w:color w:val="000000" w:themeColor="text1"/>
          <w:lang w:val="en-US"/>
        </w:rPr>
        <w:t xml:space="preserve"> S (2009) The activities of paraoxonase, xanthine oxidase, adenosine </w:t>
      </w:r>
      <w:proofErr w:type="spellStart"/>
      <w:r w:rsidRPr="00004507">
        <w:rPr>
          <w:rFonts w:ascii="Arial" w:eastAsia="TimesNewRomanPSMT" w:hAnsi="Arial" w:cs="Arial"/>
          <w:color w:val="000000" w:themeColor="text1"/>
          <w:lang w:val="en-US"/>
        </w:rPr>
        <w:t>deaminase</w:t>
      </w:r>
      <w:proofErr w:type="spellEnd"/>
      <w:r w:rsidRPr="00004507">
        <w:rPr>
          <w:rFonts w:ascii="Arial" w:eastAsia="TimesNewRomanPSMT" w:hAnsi="Arial" w:cs="Arial"/>
          <w:color w:val="000000" w:themeColor="text1"/>
          <w:lang w:val="en-US"/>
        </w:rPr>
        <w:t xml:space="preserve"> and the level of nitrite in pseudoexfoliation syndrome. Ophthalmic Res 42(3):155-9.</w:t>
      </w:r>
    </w:p>
    <w:p w14:paraId="6360A76B"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lastRenderedPageBreak/>
        <w:t>https://doi.org/</w:t>
      </w:r>
      <w:r w:rsidRPr="00004507">
        <w:rPr>
          <w:rFonts w:ascii="Arial" w:hAnsi="Arial" w:cs="Arial"/>
          <w:color w:val="000000" w:themeColor="text1"/>
          <w:shd w:val="clear" w:color="auto" w:fill="FFFFFF"/>
          <w:lang w:val="en-US"/>
        </w:rPr>
        <w:t>10.1159/000229306</w:t>
      </w:r>
    </w:p>
    <w:p w14:paraId="0E039D73"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shd w:val="clear" w:color="auto" w:fill="FFFFFF"/>
          <w:lang w:val="en-US"/>
        </w:rPr>
        <w:t>Yildirim</w:t>
      </w:r>
      <w:proofErr w:type="spellEnd"/>
      <w:r w:rsidRPr="00004507">
        <w:rPr>
          <w:rFonts w:ascii="Arial" w:hAnsi="Arial" w:cs="Arial"/>
          <w:color w:val="000000" w:themeColor="text1"/>
          <w:shd w:val="clear" w:color="auto" w:fill="FFFFFF"/>
          <w:lang w:val="en-US"/>
        </w:rPr>
        <w:t xml:space="preserve"> Z, </w:t>
      </w:r>
      <w:proofErr w:type="spellStart"/>
      <w:r w:rsidRPr="00004507">
        <w:rPr>
          <w:rFonts w:ascii="Arial" w:hAnsi="Arial" w:cs="Arial"/>
          <w:color w:val="000000" w:themeColor="text1"/>
          <w:shd w:val="clear" w:color="auto" w:fill="FFFFFF"/>
          <w:lang w:val="en-US"/>
        </w:rPr>
        <w:t>Yildirim</w:t>
      </w:r>
      <w:proofErr w:type="spellEnd"/>
      <w:r w:rsidRPr="00004507">
        <w:rPr>
          <w:rFonts w:ascii="Arial" w:hAnsi="Arial" w:cs="Arial"/>
          <w:color w:val="000000" w:themeColor="text1"/>
          <w:shd w:val="clear" w:color="auto" w:fill="FFFFFF"/>
          <w:lang w:val="en-US"/>
        </w:rPr>
        <w:t xml:space="preserve"> F, </w:t>
      </w:r>
      <w:proofErr w:type="spellStart"/>
      <w:r w:rsidRPr="00004507">
        <w:rPr>
          <w:rFonts w:ascii="Arial" w:hAnsi="Arial" w:cs="Arial"/>
          <w:color w:val="000000" w:themeColor="text1"/>
          <w:shd w:val="clear" w:color="auto" w:fill="FFFFFF"/>
          <w:lang w:val="en-US"/>
        </w:rPr>
        <w:t>Uçgun</w:t>
      </w:r>
      <w:proofErr w:type="spellEnd"/>
      <w:r w:rsidRPr="00004507">
        <w:rPr>
          <w:rFonts w:ascii="Arial" w:hAnsi="Arial" w:cs="Arial"/>
          <w:color w:val="000000" w:themeColor="text1"/>
          <w:shd w:val="clear" w:color="auto" w:fill="FFFFFF"/>
          <w:lang w:val="en-US"/>
        </w:rPr>
        <w:t xml:space="preserve"> NI, </w:t>
      </w:r>
      <w:proofErr w:type="spellStart"/>
      <w:r w:rsidRPr="00004507">
        <w:rPr>
          <w:rFonts w:ascii="Arial" w:hAnsi="Arial" w:cs="Arial"/>
          <w:color w:val="000000" w:themeColor="text1"/>
          <w:shd w:val="clear" w:color="auto" w:fill="FFFFFF"/>
          <w:lang w:val="en-US"/>
        </w:rPr>
        <w:t>Sepici-Dinçel</w:t>
      </w:r>
      <w:proofErr w:type="spellEnd"/>
      <w:r w:rsidRPr="00004507">
        <w:rPr>
          <w:rFonts w:ascii="Arial" w:hAnsi="Arial" w:cs="Arial"/>
          <w:color w:val="000000" w:themeColor="text1"/>
          <w:shd w:val="clear" w:color="auto" w:fill="FFFFFF"/>
          <w:lang w:val="en-US"/>
        </w:rPr>
        <w:t xml:space="preserve"> A (2013) </w:t>
      </w:r>
      <w:proofErr w:type="gramStart"/>
      <w:r w:rsidRPr="00004507">
        <w:rPr>
          <w:rFonts w:ascii="Arial" w:hAnsi="Arial" w:cs="Arial"/>
          <w:color w:val="000000" w:themeColor="text1"/>
          <w:shd w:val="clear" w:color="auto" w:fill="FFFFFF"/>
          <w:lang w:val="en-US"/>
        </w:rPr>
        <w:t>The</w:t>
      </w:r>
      <w:proofErr w:type="gramEnd"/>
      <w:r w:rsidRPr="00004507">
        <w:rPr>
          <w:rFonts w:ascii="Arial" w:hAnsi="Arial" w:cs="Arial"/>
          <w:color w:val="000000" w:themeColor="text1"/>
          <w:shd w:val="clear" w:color="auto" w:fill="FFFFFF"/>
          <w:lang w:val="en-US"/>
        </w:rPr>
        <w:t xml:space="preserve"> role of the cytokines in the pathogenesis of pseudoexfoliation syndrome. </w:t>
      </w:r>
      <w:proofErr w:type="spellStart"/>
      <w:r w:rsidRPr="00004507">
        <w:rPr>
          <w:rFonts w:ascii="Arial" w:hAnsi="Arial" w:cs="Arial"/>
          <w:iCs/>
          <w:color w:val="000000" w:themeColor="text1"/>
          <w:shd w:val="clear" w:color="auto" w:fill="FFFFFF"/>
          <w:lang w:val="en-US"/>
        </w:rPr>
        <w:t>Int</w:t>
      </w:r>
      <w:proofErr w:type="spellEnd"/>
      <w:r w:rsidRPr="00004507">
        <w:rPr>
          <w:rFonts w:ascii="Arial" w:hAnsi="Arial" w:cs="Arial"/>
          <w:iCs/>
          <w:color w:val="000000" w:themeColor="text1"/>
          <w:shd w:val="clear" w:color="auto" w:fill="FFFFFF"/>
          <w:lang w:val="en-US"/>
        </w:rPr>
        <w:t xml:space="preserve"> J </w:t>
      </w:r>
      <w:proofErr w:type="spellStart"/>
      <w:r w:rsidRPr="00004507">
        <w:rPr>
          <w:rFonts w:ascii="Arial" w:hAnsi="Arial" w:cs="Arial"/>
          <w:iCs/>
          <w:color w:val="000000" w:themeColor="text1"/>
          <w:shd w:val="clear" w:color="auto" w:fill="FFFFFF"/>
          <w:lang w:val="en-US"/>
        </w:rPr>
        <w:t>Ophthalmol</w:t>
      </w:r>
      <w:proofErr w:type="spellEnd"/>
      <w:r w:rsidRPr="00004507">
        <w:rPr>
          <w:rFonts w:ascii="Arial" w:hAnsi="Arial" w:cs="Arial"/>
          <w:color w:val="000000" w:themeColor="text1"/>
          <w:shd w:val="clear" w:color="auto" w:fill="FFFFFF"/>
          <w:lang w:val="en-US"/>
        </w:rPr>
        <w:t> </w:t>
      </w:r>
      <w:r w:rsidRPr="00004507">
        <w:rPr>
          <w:rFonts w:ascii="Arial" w:hAnsi="Arial" w:cs="Arial"/>
          <w:iCs/>
          <w:color w:val="000000" w:themeColor="text1"/>
          <w:shd w:val="clear" w:color="auto" w:fill="FFFFFF"/>
          <w:lang w:val="en-US"/>
        </w:rPr>
        <w:t>6</w:t>
      </w:r>
      <w:r w:rsidRPr="00004507">
        <w:rPr>
          <w:rFonts w:ascii="Arial" w:hAnsi="Arial" w:cs="Arial"/>
          <w:color w:val="000000" w:themeColor="text1"/>
          <w:shd w:val="clear" w:color="auto" w:fill="FFFFFF"/>
          <w:lang w:val="en-US"/>
        </w:rPr>
        <w:t xml:space="preserve">(1):50-53. </w:t>
      </w: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10.3980/j.issn.2222-3959.2013.01.10</w:t>
      </w:r>
    </w:p>
    <w:p w14:paraId="3BBBF5A2"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 xml:space="preserve">Can </w:t>
      </w:r>
      <w:proofErr w:type="spellStart"/>
      <w:r w:rsidRPr="00004507">
        <w:rPr>
          <w:rFonts w:ascii="Arial" w:hAnsi="Arial" w:cs="Arial"/>
          <w:color w:val="000000" w:themeColor="text1"/>
          <w:lang w:val="en-US"/>
        </w:rPr>
        <w:t>Demirdöğen</w:t>
      </w:r>
      <w:proofErr w:type="spellEnd"/>
      <w:r w:rsidRPr="00004507">
        <w:rPr>
          <w:rFonts w:ascii="Arial" w:hAnsi="Arial" w:cs="Arial"/>
          <w:color w:val="000000" w:themeColor="text1"/>
          <w:lang w:val="en-US"/>
        </w:rPr>
        <w:t xml:space="preserve"> B, </w:t>
      </w:r>
      <w:proofErr w:type="spellStart"/>
      <w:r w:rsidRPr="00004507">
        <w:rPr>
          <w:rFonts w:ascii="Arial" w:hAnsi="Arial" w:cs="Arial"/>
          <w:color w:val="000000" w:themeColor="text1"/>
          <w:lang w:val="en-US"/>
        </w:rPr>
        <w:t>Ceylan</w:t>
      </w:r>
      <w:proofErr w:type="spellEnd"/>
      <w:r w:rsidRPr="00004507">
        <w:rPr>
          <w:rFonts w:ascii="Arial" w:hAnsi="Arial" w:cs="Arial"/>
          <w:color w:val="000000" w:themeColor="text1"/>
          <w:lang w:val="en-US"/>
        </w:rPr>
        <w:t xml:space="preserve"> OM, </w:t>
      </w:r>
      <w:proofErr w:type="spellStart"/>
      <w:r w:rsidRPr="00004507">
        <w:rPr>
          <w:rFonts w:ascii="Arial" w:hAnsi="Arial" w:cs="Arial"/>
          <w:color w:val="000000" w:themeColor="text1"/>
          <w:lang w:val="en-US"/>
        </w:rPr>
        <w:t>Işıkoğlu</w:t>
      </w:r>
      <w:proofErr w:type="spellEnd"/>
      <w:r w:rsidRPr="00004507">
        <w:rPr>
          <w:rFonts w:ascii="Arial" w:hAnsi="Arial" w:cs="Arial"/>
          <w:color w:val="000000" w:themeColor="text1"/>
          <w:lang w:val="en-US"/>
        </w:rPr>
        <w:t xml:space="preserve"> S, </w:t>
      </w:r>
      <w:proofErr w:type="spellStart"/>
      <w:r w:rsidRPr="00004507">
        <w:rPr>
          <w:rFonts w:ascii="Arial" w:hAnsi="Arial" w:cs="Arial"/>
          <w:color w:val="000000" w:themeColor="text1"/>
          <w:lang w:val="en-US"/>
        </w:rPr>
        <w:t>Mumcuoğlu</w:t>
      </w:r>
      <w:proofErr w:type="spellEnd"/>
      <w:r w:rsidRPr="00004507">
        <w:rPr>
          <w:rFonts w:ascii="Arial" w:hAnsi="Arial" w:cs="Arial"/>
          <w:color w:val="000000" w:themeColor="text1"/>
          <w:lang w:val="en-US"/>
        </w:rPr>
        <w:t xml:space="preserve"> T, </w:t>
      </w:r>
      <w:proofErr w:type="spellStart"/>
      <w:proofErr w:type="gramStart"/>
      <w:r w:rsidRPr="00004507">
        <w:rPr>
          <w:rFonts w:ascii="Arial" w:hAnsi="Arial" w:cs="Arial"/>
          <w:color w:val="000000" w:themeColor="text1"/>
          <w:lang w:val="en-US"/>
        </w:rPr>
        <w:t>Erel</w:t>
      </w:r>
      <w:proofErr w:type="spellEnd"/>
      <w:proofErr w:type="gramEnd"/>
      <w:r w:rsidRPr="00004507">
        <w:rPr>
          <w:rFonts w:ascii="Arial" w:hAnsi="Arial" w:cs="Arial"/>
          <w:color w:val="000000" w:themeColor="text1"/>
          <w:lang w:val="en-US"/>
        </w:rPr>
        <w:t xml:space="preserve"> Ö (</w:t>
      </w:r>
      <w:r w:rsidRPr="00004507">
        <w:rPr>
          <w:rFonts w:ascii="Arial" w:hAnsi="Arial" w:cs="Arial"/>
          <w:color w:val="000000" w:themeColor="text1"/>
          <w:lang w:val="en-US" w:eastAsia="tr-TR"/>
        </w:rPr>
        <w:t xml:space="preserve">2014) </w:t>
      </w:r>
      <w:r w:rsidRPr="00004507">
        <w:rPr>
          <w:rFonts w:ascii="Arial" w:hAnsi="Arial" w:cs="Arial"/>
          <w:color w:val="000000" w:themeColor="text1"/>
          <w:lang w:val="en-US"/>
        </w:rPr>
        <w:t xml:space="preserve">Evaluation of oxidative stress and paraoxonase phenotypes in pseudoexfoliation syndrome and pseudoexfoliation glaucoma. </w:t>
      </w:r>
      <w:proofErr w:type="spellStart"/>
      <w:r w:rsidRPr="00004507">
        <w:rPr>
          <w:rFonts w:ascii="Arial" w:hAnsi="Arial" w:cs="Arial"/>
          <w:color w:val="000000" w:themeColor="text1"/>
          <w:lang w:val="en-US" w:eastAsia="tr-TR"/>
        </w:rPr>
        <w:t>Clin</w:t>
      </w:r>
      <w:proofErr w:type="spellEnd"/>
      <w:r w:rsidRPr="00004507">
        <w:rPr>
          <w:rFonts w:ascii="Arial" w:hAnsi="Arial" w:cs="Arial"/>
          <w:color w:val="000000" w:themeColor="text1"/>
          <w:lang w:val="en-US" w:eastAsia="tr-TR"/>
        </w:rPr>
        <w:t xml:space="preserve"> Lab 60(1):79-86.</w:t>
      </w:r>
    </w:p>
    <w:p w14:paraId="34CB0BD0"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eastAsia="Times New Roman" w:hAnsi="Arial" w:cs="Arial"/>
          <w:color w:val="000000" w:themeColor="text1"/>
          <w:lang w:val="en-US" w:eastAsia="tr-TR"/>
        </w:rPr>
        <w:t>10.7754/Clin.Lab.2013.121229</w:t>
      </w:r>
    </w:p>
    <w:p w14:paraId="6C90FABC"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shd w:val="clear" w:color="auto" w:fill="FFFFFF"/>
          <w:lang w:val="en-US"/>
        </w:rPr>
        <w:t>Dursun</w:t>
      </w:r>
      <w:proofErr w:type="spellEnd"/>
      <w:r w:rsidRPr="00004507">
        <w:rPr>
          <w:rFonts w:ascii="Arial" w:hAnsi="Arial" w:cs="Arial"/>
          <w:color w:val="000000" w:themeColor="text1"/>
          <w:shd w:val="clear" w:color="auto" w:fill="FFFFFF"/>
          <w:lang w:val="en-US"/>
        </w:rPr>
        <w:t xml:space="preserve"> F, </w:t>
      </w:r>
      <w:proofErr w:type="spellStart"/>
      <w:r w:rsidRPr="00004507">
        <w:rPr>
          <w:rFonts w:ascii="Arial" w:hAnsi="Arial" w:cs="Arial"/>
          <w:color w:val="000000" w:themeColor="text1"/>
          <w:shd w:val="clear" w:color="auto" w:fill="FFFFFF"/>
          <w:lang w:val="en-US"/>
        </w:rPr>
        <w:t>Ozec</w:t>
      </w:r>
      <w:proofErr w:type="spellEnd"/>
      <w:r w:rsidRPr="00004507">
        <w:rPr>
          <w:rFonts w:ascii="Arial" w:hAnsi="Arial" w:cs="Arial"/>
          <w:color w:val="000000" w:themeColor="text1"/>
          <w:shd w:val="clear" w:color="auto" w:fill="FFFFFF"/>
          <w:lang w:val="en-US"/>
        </w:rPr>
        <w:t xml:space="preserve"> AV, </w:t>
      </w:r>
      <w:proofErr w:type="spellStart"/>
      <w:r w:rsidRPr="00004507">
        <w:rPr>
          <w:rFonts w:ascii="Arial" w:hAnsi="Arial" w:cs="Arial"/>
          <w:color w:val="000000" w:themeColor="text1"/>
          <w:shd w:val="clear" w:color="auto" w:fill="FFFFFF"/>
          <w:lang w:val="en-US"/>
        </w:rPr>
        <w:t>Aydin</w:t>
      </w:r>
      <w:proofErr w:type="spellEnd"/>
      <w:r w:rsidRPr="00004507">
        <w:rPr>
          <w:rFonts w:ascii="Arial" w:hAnsi="Arial" w:cs="Arial"/>
          <w:color w:val="000000" w:themeColor="text1"/>
          <w:shd w:val="clear" w:color="auto" w:fill="FFFFFF"/>
          <w:lang w:val="en-US"/>
        </w:rPr>
        <w:t xml:space="preserve"> H, </w:t>
      </w:r>
      <w:proofErr w:type="spellStart"/>
      <w:r w:rsidRPr="00004507">
        <w:rPr>
          <w:rFonts w:ascii="Arial" w:hAnsi="Arial" w:cs="Arial"/>
          <w:color w:val="000000" w:themeColor="text1"/>
          <w:shd w:val="clear" w:color="auto" w:fill="FFFFFF"/>
          <w:lang w:val="en-US"/>
        </w:rPr>
        <w:t>Topalkara</w:t>
      </w:r>
      <w:proofErr w:type="spellEnd"/>
      <w:r w:rsidRPr="00004507">
        <w:rPr>
          <w:rFonts w:ascii="Arial" w:hAnsi="Arial" w:cs="Arial"/>
          <w:color w:val="000000" w:themeColor="text1"/>
          <w:shd w:val="clear" w:color="auto" w:fill="FFFFFF"/>
          <w:lang w:val="en-US"/>
        </w:rPr>
        <w:t xml:space="preserve"> A, </w:t>
      </w:r>
      <w:proofErr w:type="spellStart"/>
      <w:r w:rsidRPr="00004507">
        <w:rPr>
          <w:rFonts w:ascii="Arial" w:hAnsi="Arial" w:cs="Arial"/>
          <w:color w:val="000000" w:themeColor="text1"/>
          <w:shd w:val="clear" w:color="auto" w:fill="FFFFFF"/>
          <w:lang w:val="en-US"/>
        </w:rPr>
        <w:t>Dursun</w:t>
      </w:r>
      <w:proofErr w:type="spellEnd"/>
      <w:r w:rsidRPr="00004507">
        <w:rPr>
          <w:rFonts w:ascii="Arial" w:hAnsi="Arial" w:cs="Arial"/>
          <w:color w:val="000000" w:themeColor="text1"/>
          <w:shd w:val="clear" w:color="auto" w:fill="FFFFFF"/>
          <w:lang w:val="en-US"/>
        </w:rPr>
        <w:t xml:space="preserve"> A, </w:t>
      </w:r>
      <w:proofErr w:type="spellStart"/>
      <w:r w:rsidRPr="00004507">
        <w:rPr>
          <w:rFonts w:ascii="Arial" w:hAnsi="Arial" w:cs="Arial"/>
          <w:color w:val="000000" w:themeColor="text1"/>
          <w:shd w:val="clear" w:color="auto" w:fill="FFFFFF"/>
          <w:lang w:val="en-US"/>
        </w:rPr>
        <w:t>Toker</w:t>
      </w:r>
      <w:proofErr w:type="spellEnd"/>
      <w:r w:rsidRPr="00004507">
        <w:rPr>
          <w:rFonts w:ascii="Arial" w:hAnsi="Arial" w:cs="Arial"/>
          <w:color w:val="000000" w:themeColor="text1"/>
          <w:shd w:val="clear" w:color="auto" w:fill="FFFFFF"/>
          <w:lang w:val="en-US"/>
        </w:rPr>
        <w:t xml:space="preserve"> MI, </w:t>
      </w:r>
      <w:proofErr w:type="spellStart"/>
      <w:r w:rsidRPr="00004507">
        <w:rPr>
          <w:rFonts w:ascii="Arial" w:hAnsi="Arial" w:cs="Arial"/>
          <w:color w:val="000000" w:themeColor="text1"/>
          <w:shd w:val="clear" w:color="auto" w:fill="FFFFFF"/>
          <w:lang w:val="en-US"/>
        </w:rPr>
        <w:t>Erdogan</w:t>
      </w:r>
      <w:proofErr w:type="spellEnd"/>
      <w:r w:rsidRPr="00004507">
        <w:rPr>
          <w:rFonts w:ascii="Arial" w:hAnsi="Arial" w:cs="Arial"/>
          <w:color w:val="000000" w:themeColor="text1"/>
          <w:shd w:val="clear" w:color="auto" w:fill="FFFFFF"/>
          <w:lang w:val="en-US"/>
        </w:rPr>
        <w:t xml:space="preserve"> H, </w:t>
      </w:r>
      <w:proofErr w:type="spellStart"/>
      <w:r w:rsidRPr="00004507">
        <w:rPr>
          <w:rFonts w:ascii="Arial" w:hAnsi="Arial" w:cs="Arial"/>
          <w:color w:val="000000" w:themeColor="text1"/>
          <w:shd w:val="clear" w:color="auto" w:fill="FFFFFF"/>
          <w:lang w:val="en-US"/>
        </w:rPr>
        <w:t>Arici</w:t>
      </w:r>
      <w:proofErr w:type="spellEnd"/>
      <w:r w:rsidRPr="00004507">
        <w:rPr>
          <w:rFonts w:ascii="Arial" w:hAnsi="Arial" w:cs="Arial"/>
          <w:color w:val="000000" w:themeColor="text1"/>
          <w:shd w:val="clear" w:color="auto" w:fill="FFFFFF"/>
          <w:lang w:val="en-US"/>
        </w:rPr>
        <w:t xml:space="preserve"> MK (2015) Total oxidative stress, paraoxonase and </w:t>
      </w:r>
      <w:proofErr w:type="spellStart"/>
      <w:r w:rsidRPr="00004507">
        <w:rPr>
          <w:rFonts w:ascii="Arial" w:hAnsi="Arial" w:cs="Arial"/>
          <w:color w:val="000000" w:themeColor="text1"/>
          <w:shd w:val="clear" w:color="auto" w:fill="FFFFFF"/>
          <w:lang w:val="en-US"/>
        </w:rPr>
        <w:t>arylesterase</w:t>
      </w:r>
      <w:proofErr w:type="spellEnd"/>
      <w:r w:rsidRPr="00004507">
        <w:rPr>
          <w:rFonts w:ascii="Arial" w:hAnsi="Arial" w:cs="Arial"/>
          <w:color w:val="000000" w:themeColor="text1"/>
          <w:shd w:val="clear" w:color="auto" w:fill="FFFFFF"/>
          <w:lang w:val="en-US"/>
        </w:rPr>
        <w:t xml:space="preserve"> levels at patients with pseudoexfoliation syndrome and pseudoexfoliative glaucoma. </w:t>
      </w:r>
      <w:proofErr w:type="spellStart"/>
      <w:r w:rsidRPr="00004507">
        <w:rPr>
          <w:rFonts w:ascii="Arial" w:hAnsi="Arial" w:cs="Arial"/>
          <w:color w:val="000000" w:themeColor="text1"/>
          <w:shd w:val="clear" w:color="auto" w:fill="FFFFFF"/>
          <w:lang w:val="en-US"/>
        </w:rPr>
        <w:t>Int</w:t>
      </w:r>
      <w:proofErr w:type="spellEnd"/>
      <w:r w:rsidRPr="00004507">
        <w:rPr>
          <w:rFonts w:ascii="Arial" w:hAnsi="Arial" w:cs="Arial"/>
          <w:color w:val="000000" w:themeColor="text1"/>
          <w:shd w:val="clear" w:color="auto" w:fill="FFFFFF"/>
          <w:lang w:val="en-US"/>
        </w:rPr>
        <w:t xml:space="preserve"> J </w:t>
      </w:r>
      <w:proofErr w:type="spellStart"/>
      <w:r w:rsidRPr="00004507">
        <w:rPr>
          <w:rFonts w:ascii="Arial" w:hAnsi="Arial" w:cs="Arial"/>
          <w:color w:val="000000" w:themeColor="text1"/>
          <w:shd w:val="clear" w:color="auto" w:fill="FFFFFF"/>
          <w:lang w:val="en-US"/>
        </w:rPr>
        <w:t>Ophthalmol</w:t>
      </w:r>
      <w:proofErr w:type="spellEnd"/>
      <w:r w:rsidRPr="00004507">
        <w:rPr>
          <w:rFonts w:ascii="Arial" w:hAnsi="Arial" w:cs="Arial"/>
          <w:color w:val="000000" w:themeColor="text1"/>
          <w:shd w:val="clear" w:color="auto" w:fill="FFFFFF"/>
          <w:lang w:val="en-US"/>
        </w:rPr>
        <w:t xml:space="preserve"> 8(5):985-990. </w:t>
      </w:r>
    </w:p>
    <w:p w14:paraId="10EFE5C7"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10.3980/j.issn.2222-3959.2015.05.24</w:t>
      </w:r>
    </w:p>
    <w:p w14:paraId="5E4EB0EC"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Sarenac-Vulovic</w:t>
      </w:r>
      <w:proofErr w:type="spellEnd"/>
      <w:r w:rsidRPr="00004507">
        <w:rPr>
          <w:rFonts w:ascii="Arial" w:hAnsi="Arial" w:cs="Arial"/>
          <w:color w:val="000000" w:themeColor="text1"/>
          <w:lang w:val="en-US"/>
        </w:rPr>
        <w:t xml:space="preserve"> TS, </w:t>
      </w:r>
      <w:proofErr w:type="spellStart"/>
      <w:r w:rsidRPr="00004507">
        <w:rPr>
          <w:rFonts w:ascii="Arial" w:hAnsi="Arial" w:cs="Arial"/>
          <w:color w:val="000000" w:themeColor="text1"/>
          <w:lang w:val="en-US"/>
        </w:rPr>
        <w:t>Pavlovic</w:t>
      </w:r>
      <w:proofErr w:type="spellEnd"/>
      <w:r w:rsidRPr="00004507">
        <w:rPr>
          <w:rFonts w:ascii="Arial" w:hAnsi="Arial" w:cs="Arial"/>
          <w:color w:val="000000" w:themeColor="text1"/>
          <w:lang w:val="en-US"/>
        </w:rPr>
        <w:t xml:space="preserve"> SM, </w:t>
      </w:r>
      <w:proofErr w:type="spellStart"/>
      <w:r w:rsidRPr="00004507">
        <w:rPr>
          <w:rFonts w:ascii="Arial" w:hAnsi="Arial" w:cs="Arial"/>
          <w:color w:val="000000" w:themeColor="text1"/>
          <w:lang w:val="en-US"/>
        </w:rPr>
        <w:t>Jakovljevic</w:t>
      </w:r>
      <w:proofErr w:type="spellEnd"/>
      <w:r w:rsidRPr="00004507">
        <w:rPr>
          <w:rFonts w:ascii="Arial" w:hAnsi="Arial" w:cs="Arial"/>
          <w:color w:val="000000" w:themeColor="text1"/>
          <w:lang w:val="en-US"/>
        </w:rPr>
        <w:t xml:space="preserve"> VLJ, </w:t>
      </w:r>
      <w:proofErr w:type="spellStart"/>
      <w:r w:rsidRPr="00004507">
        <w:rPr>
          <w:rFonts w:ascii="Arial" w:hAnsi="Arial" w:cs="Arial"/>
          <w:color w:val="000000" w:themeColor="text1"/>
          <w:lang w:val="en-US"/>
        </w:rPr>
        <w:t>Janicijevic</w:t>
      </w:r>
      <w:proofErr w:type="spellEnd"/>
      <w:r w:rsidRPr="00004507">
        <w:rPr>
          <w:rFonts w:ascii="Arial" w:hAnsi="Arial" w:cs="Arial"/>
          <w:color w:val="000000" w:themeColor="text1"/>
          <w:lang w:val="en-US"/>
        </w:rPr>
        <w:t xml:space="preserve"> KB, </w:t>
      </w:r>
      <w:proofErr w:type="spellStart"/>
      <w:r w:rsidRPr="00004507">
        <w:rPr>
          <w:rFonts w:ascii="Arial" w:hAnsi="Arial" w:cs="Arial"/>
          <w:color w:val="000000" w:themeColor="text1"/>
          <w:lang w:val="en-US"/>
        </w:rPr>
        <w:t>Zdravkovic</w:t>
      </w:r>
      <w:proofErr w:type="spellEnd"/>
      <w:r w:rsidRPr="00004507">
        <w:rPr>
          <w:rFonts w:ascii="Arial" w:hAnsi="Arial" w:cs="Arial"/>
          <w:color w:val="000000" w:themeColor="text1"/>
          <w:lang w:val="en-US"/>
        </w:rPr>
        <w:t xml:space="preserve"> NS (2016a) Nitric oxide and </w:t>
      </w:r>
      <w:proofErr w:type="spellStart"/>
      <w:r w:rsidRPr="00004507">
        <w:rPr>
          <w:rFonts w:ascii="Arial" w:hAnsi="Arial" w:cs="Arial"/>
          <w:color w:val="000000" w:themeColor="text1"/>
          <w:lang w:val="en-US"/>
        </w:rPr>
        <w:t>tumour</w:t>
      </w:r>
      <w:proofErr w:type="spellEnd"/>
      <w:r w:rsidRPr="00004507">
        <w:rPr>
          <w:rFonts w:ascii="Arial" w:hAnsi="Arial" w:cs="Arial"/>
          <w:color w:val="000000" w:themeColor="text1"/>
          <w:lang w:val="en-US"/>
        </w:rPr>
        <w:t xml:space="preserve"> necrosis factor alpha in the process of pseudoexfoliation glaucoma. </w:t>
      </w:r>
      <w:proofErr w:type="spellStart"/>
      <w:r w:rsidRPr="00004507">
        <w:rPr>
          <w:rFonts w:ascii="Arial" w:hAnsi="Arial" w:cs="Arial"/>
          <w:color w:val="000000" w:themeColor="text1"/>
          <w:lang w:val="en-US"/>
        </w:rPr>
        <w:t>Int</w:t>
      </w:r>
      <w:proofErr w:type="spellEnd"/>
      <w:r w:rsidRPr="00004507">
        <w:rPr>
          <w:rFonts w:ascii="Arial" w:hAnsi="Arial" w:cs="Arial"/>
          <w:color w:val="000000" w:themeColor="text1"/>
          <w:lang w:val="en-US"/>
        </w:rPr>
        <w:t xml:space="preserve"> J </w:t>
      </w:r>
      <w:proofErr w:type="spellStart"/>
      <w:r w:rsidRPr="00004507">
        <w:rPr>
          <w:rFonts w:ascii="Arial" w:hAnsi="Arial" w:cs="Arial"/>
          <w:color w:val="000000" w:themeColor="text1"/>
          <w:lang w:val="en-US"/>
        </w:rPr>
        <w:t>Ophthalmol</w:t>
      </w:r>
      <w:proofErr w:type="spellEnd"/>
      <w:r w:rsidRPr="00004507">
        <w:rPr>
          <w:rFonts w:ascii="Arial" w:hAnsi="Arial" w:cs="Arial"/>
          <w:color w:val="000000" w:themeColor="text1"/>
          <w:lang w:val="en-US"/>
        </w:rPr>
        <w:t xml:space="preserve"> 9(8):1138-42.</w:t>
      </w:r>
    </w:p>
    <w:p w14:paraId="0BE63F54"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10.18240/ijo.2016.08.09</w:t>
      </w:r>
    </w:p>
    <w:p w14:paraId="1B183B15"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Sarenac-Vulovic</w:t>
      </w:r>
      <w:proofErr w:type="spellEnd"/>
      <w:r w:rsidRPr="00004507">
        <w:rPr>
          <w:rFonts w:ascii="Arial" w:hAnsi="Arial" w:cs="Arial"/>
          <w:color w:val="000000" w:themeColor="text1"/>
          <w:lang w:val="en-US"/>
        </w:rPr>
        <w:t xml:space="preserve"> TS, </w:t>
      </w:r>
      <w:proofErr w:type="spellStart"/>
      <w:r w:rsidRPr="00004507">
        <w:rPr>
          <w:rFonts w:ascii="Arial" w:hAnsi="Arial" w:cs="Arial"/>
          <w:color w:val="000000" w:themeColor="text1"/>
          <w:lang w:val="en-US"/>
        </w:rPr>
        <w:t>Pavlovic</w:t>
      </w:r>
      <w:proofErr w:type="spellEnd"/>
      <w:r w:rsidRPr="00004507">
        <w:rPr>
          <w:rFonts w:ascii="Arial" w:hAnsi="Arial" w:cs="Arial"/>
          <w:color w:val="000000" w:themeColor="text1"/>
          <w:lang w:val="en-US"/>
        </w:rPr>
        <w:t xml:space="preserve"> SM, </w:t>
      </w:r>
      <w:proofErr w:type="spellStart"/>
      <w:proofErr w:type="gramStart"/>
      <w:r w:rsidRPr="00004507">
        <w:rPr>
          <w:rFonts w:ascii="Arial" w:hAnsi="Arial" w:cs="Arial"/>
          <w:color w:val="000000" w:themeColor="text1"/>
          <w:lang w:val="en-US"/>
        </w:rPr>
        <w:t>Zdravkovic</w:t>
      </w:r>
      <w:proofErr w:type="spellEnd"/>
      <w:proofErr w:type="gramEnd"/>
      <w:r w:rsidRPr="00004507">
        <w:rPr>
          <w:rFonts w:ascii="Arial" w:hAnsi="Arial" w:cs="Arial"/>
          <w:color w:val="000000" w:themeColor="text1"/>
          <w:lang w:val="en-US"/>
        </w:rPr>
        <w:t xml:space="preserve"> NS (2016b) </w:t>
      </w:r>
      <w:proofErr w:type="spellStart"/>
      <w:r w:rsidRPr="00004507">
        <w:rPr>
          <w:rFonts w:ascii="Arial" w:hAnsi="Arial" w:cs="Arial"/>
          <w:color w:val="000000" w:themeColor="text1"/>
          <w:lang w:val="en-US"/>
        </w:rPr>
        <w:t>Proinflammatory</w:t>
      </w:r>
      <w:proofErr w:type="spellEnd"/>
      <w:r w:rsidRPr="00004507">
        <w:rPr>
          <w:rFonts w:ascii="Arial" w:hAnsi="Arial" w:cs="Arial"/>
          <w:color w:val="000000" w:themeColor="text1"/>
          <w:lang w:val="en-US"/>
        </w:rPr>
        <w:t xml:space="preserve"> cytokines induce XFG development. </w:t>
      </w:r>
      <w:proofErr w:type="spellStart"/>
      <w:r w:rsidRPr="00004507">
        <w:rPr>
          <w:rFonts w:ascii="Arial" w:hAnsi="Arial" w:cs="Arial"/>
          <w:color w:val="000000" w:themeColor="text1"/>
          <w:lang w:val="en-US"/>
        </w:rPr>
        <w:t>Ocul</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Immunol</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Inflamm</w:t>
      </w:r>
      <w:proofErr w:type="spellEnd"/>
      <w:r w:rsidRPr="00004507">
        <w:rPr>
          <w:rFonts w:ascii="Arial" w:hAnsi="Arial" w:cs="Arial"/>
          <w:color w:val="000000" w:themeColor="text1"/>
          <w:lang w:val="en-US"/>
        </w:rPr>
        <w:t xml:space="preserve"> 24(6):671-677.</w:t>
      </w:r>
    </w:p>
    <w:p w14:paraId="0B9F45A3" w14:textId="6FBC84DD" w:rsidR="00DB7DF3" w:rsidRPr="00004507" w:rsidRDefault="00DB7DF3" w:rsidP="00DB7DF3">
      <w:pPr>
        <w:pStyle w:val="ListeParagraf"/>
        <w:shd w:val="clear" w:color="auto" w:fill="FFFFFF"/>
        <w:spacing w:before="120" w:after="0" w:line="240" w:lineRule="auto"/>
        <w:ind w:left="709"/>
        <w:jc w:val="both"/>
        <w:rPr>
          <w:rFonts w:ascii="Arial" w:hAnsi="Arial" w:cs="Arial"/>
          <w:lang w:val="en-US"/>
        </w:rPr>
      </w:pPr>
      <w:r w:rsidRPr="00004507">
        <w:rPr>
          <w:rFonts w:ascii="Arial" w:hAnsi="Arial" w:cs="Arial"/>
          <w:lang w:val="en-US"/>
        </w:rPr>
        <w:t>https://doi.org/10.3109/09273948.2015.1063672</w:t>
      </w:r>
    </w:p>
    <w:p w14:paraId="783F29BF"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Chowdhury</w:t>
      </w:r>
      <w:proofErr w:type="spellEnd"/>
      <w:r w:rsidRPr="00004507">
        <w:rPr>
          <w:rFonts w:ascii="Arial" w:hAnsi="Arial" w:cs="Arial"/>
          <w:color w:val="000000" w:themeColor="text1"/>
          <w:lang w:val="en-US"/>
        </w:rPr>
        <w:t xml:space="preserve"> UR, Madden BJ, </w:t>
      </w:r>
      <w:proofErr w:type="spellStart"/>
      <w:r w:rsidRPr="00004507">
        <w:rPr>
          <w:rFonts w:ascii="Arial" w:hAnsi="Arial" w:cs="Arial"/>
          <w:color w:val="000000" w:themeColor="text1"/>
          <w:lang w:val="en-US"/>
        </w:rPr>
        <w:t>Charlesworth</w:t>
      </w:r>
      <w:proofErr w:type="spellEnd"/>
      <w:r w:rsidRPr="00004507">
        <w:rPr>
          <w:rFonts w:ascii="Arial" w:hAnsi="Arial" w:cs="Arial"/>
          <w:color w:val="000000" w:themeColor="text1"/>
          <w:lang w:val="en-US"/>
        </w:rPr>
        <w:t xml:space="preserve"> MC, </w:t>
      </w:r>
      <w:proofErr w:type="spellStart"/>
      <w:r w:rsidRPr="00004507">
        <w:rPr>
          <w:rFonts w:ascii="Arial" w:hAnsi="Arial" w:cs="Arial"/>
          <w:color w:val="000000" w:themeColor="text1"/>
          <w:lang w:val="en-US"/>
        </w:rPr>
        <w:t>Fautsch</w:t>
      </w:r>
      <w:proofErr w:type="spellEnd"/>
      <w:r w:rsidRPr="00004507">
        <w:rPr>
          <w:rFonts w:ascii="Arial" w:hAnsi="Arial" w:cs="Arial"/>
          <w:color w:val="000000" w:themeColor="text1"/>
          <w:lang w:val="en-US"/>
        </w:rPr>
        <w:t xml:space="preserve"> MP (</w:t>
      </w:r>
      <w:r w:rsidRPr="00004507">
        <w:rPr>
          <w:rFonts w:ascii="Arial" w:hAnsi="Arial" w:cs="Arial"/>
          <w:color w:val="000000" w:themeColor="text1"/>
          <w:shd w:val="clear" w:color="auto" w:fill="FFFFFF"/>
          <w:lang w:val="en-US"/>
        </w:rPr>
        <w:t xml:space="preserve">2010) </w:t>
      </w:r>
      <w:r w:rsidRPr="00004507">
        <w:rPr>
          <w:rFonts w:ascii="Arial" w:hAnsi="Arial" w:cs="Arial"/>
          <w:color w:val="000000" w:themeColor="text1"/>
          <w:lang w:val="en-US"/>
        </w:rPr>
        <w:t xml:space="preserve">Proteome Analysis of Human Aqueous Humor. Invest </w:t>
      </w:r>
      <w:proofErr w:type="spellStart"/>
      <w:r w:rsidRPr="00004507">
        <w:rPr>
          <w:rFonts w:ascii="Arial" w:hAnsi="Arial" w:cs="Arial"/>
          <w:color w:val="000000" w:themeColor="text1"/>
          <w:shd w:val="clear" w:color="auto" w:fill="FFFFFF"/>
          <w:lang w:val="en-US"/>
        </w:rPr>
        <w:t>Ophthalmol</w:t>
      </w:r>
      <w:proofErr w:type="spellEnd"/>
      <w:r w:rsidRPr="00004507">
        <w:rPr>
          <w:rFonts w:ascii="Arial" w:hAnsi="Arial" w:cs="Arial"/>
          <w:color w:val="000000" w:themeColor="text1"/>
          <w:shd w:val="clear" w:color="auto" w:fill="FFFFFF"/>
          <w:lang w:val="en-US"/>
        </w:rPr>
        <w:t xml:space="preserve"> Vis </w:t>
      </w:r>
      <w:proofErr w:type="spellStart"/>
      <w:r w:rsidRPr="00004507">
        <w:rPr>
          <w:rFonts w:ascii="Arial" w:hAnsi="Arial" w:cs="Arial"/>
          <w:color w:val="000000" w:themeColor="text1"/>
          <w:shd w:val="clear" w:color="auto" w:fill="FFFFFF"/>
          <w:lang w:val="en-US"/>
        </w:rPr>
        <w:t>Sci</w:t>
      </w:r>
      <w:proofErr w:type="spellEnd"/>
      <w:r w:rsidRPr="00004507">
        <w:rPr>
          <w:rStyle w:val="apple-converted-space"/>
          <w:rFonts w:ascii="Arial" w:hAnsi="Arial" w:cs="Arial"/>
          <w:color w:val="000000" w:themeColor="text1"/>
          <w:shd w:val="clear" w:color="auto" w:fill="FFFFFF"/>
          <w:lang w:val="en-US"/>
        </w:rPr>
        <w:t> </w:t>
      </w:r>
      <w:r w:rsidRPr="00004507">
        <w:rPr>
          <w:rFonts w:ascii="Arial" w:hAnsi="Arial" w:cs="Arial"/>
          <w:color w:val="000000" w:themeColor="text1"/>
          <w:shd w:val="clear" w:color="auto" w:fill="FFFFFF"/>
          <w:lang w:val="en-US"/>
        </w:rPr>
        <w:t>51(10):4921-31.</w:t>
      </w:r>
    </w:p>
    <w:p w14:paraId="2A3172AF"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10.1167/iovs.10-5531</w:t>
      </w:r>
    </w:p>
    <w:p w14:paraId="46096570"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Zhou L, Zhao SZ, </w:t>
      </w:r>
      <w:proofErr w:type="spellStart"/>
      <w:r w:rsidRPr="00004507">
        <w:rPr>
          <w:rFonts w:ascii="Arial" w:hAnsi="Arial" w:cs="Arial"/>
          <w:color w:val="000000" w:themeColor="text1"/>
          <w:lang w:val="en-US"/>
        </w:rPr>
        <w:t>Koh</w:t>
      </w:r>
      <w:proofErr w:type="spellEnd"/>
      <w:r w:rsidRPr="00004507">
        <w:rPr>
          <w:rFonts w:ascii="Arial" w:hAnsi="Arial" w:cs="Arial"/>
          <w:color w:val="000000" w:themeColor="text1"/>
          <w:lang w:val="en-US"/>
        </w:rPr>
        <w:t xml:space="preserve"> SK, Chen L, </w:t>
      </w:r>
      <w:proofErr w:type="spellStart"/>
      <w:r w:rsidRPr="00004507">
        <w:rPr>
          <w:rFonts w:ascii="Arial" w:hAnsi="Arial" w:cs="Arial"/>
          <w:color w:val="000000" w:themeColor="text1"/>
          <w:lang w:val="en-US"/>
        </w:rPr>
        <w:t>Vaz</w:t>
      </w:r>
      <w:proofErr w:type="spellEnd"/>
      <w:r w:rsidRPr="00004507">
        <w:rPr>
          <w:rFonts w:ascii="Arial" w:hAnsi="Arial" w:cs="Arial"/>
          <w:color w:val="000000" w:themeColor="text1"/>
          <w:lang w:val="en-US"/>
        </w:rPr>
        <w:t xml:space="preserve"> C, </w:t>
      </w:r>
      <w:proofErr w:type="spellStart"/>
      <w:r w:rsidRPr="00004507">
        <w:rPr>
          <w:rFonts w:ascii="Arial" w:hAnsi="Arial" w:cs="Arial"/>
          <w:color w:val="000000" w:themeColor="text1"/>
          <w:lang w:val="en-US"/>
        </w:rPr>
        <w:t>Tanavde</w:t>
      </w:r>
      <w:proofErr w:type="spellEnd"/>
      <w:r w:rsidRPr="00004507">
        <w:rPr>
          <w:rFonts w:ascii="Arial" w:hAnsi="Arial" w:cs="Arial"/>
          <w:color w:val="000000" w:themeColor="text1"/>
          <w:lang w:val="en-US"/>
        </w:rPr>
        <w:t xml:space="preserve"> V, Li XR, </w:t>
      </w:r>
      <w:proofErr w:type="spellStart"/>
      <w:r w:rsidRPr="00004507">
        <w:rPr>
          <w:rFonts w:ascii="Arial" w:hAnsi="Arial" w:cs="Arial"/>
          <w:color w:val="000000" w:themeColor="text1"/>
          <w:lang w:val="en-US"/>
        </w:rPr>
        <w:t>Beuerman</w:t>
      </w:r>
      <w:proofErr w:type="spellEnd"/>
      <w:r w:rsidRPr="00004507">
        <w:rPr>
          <w:rFonts w:ascii="Arial" w:hAnsi="Arial" w:cs="Arial"/>
          <w:color w:val="000000" w:themeColor="text1"/>
          <w:lang w:val="en-US"/>
        </w:rPr>
        <w:t xml:space="preserve"> RW (2012) </w:t>
      </w:r>
      <w:r w:rsidRPr="00004507">
        <w:rPr>
          <w:rFonts w:ascii="Arial" w:hAnsi="Arial" w:cs="Arial"/>
          <w:bCs/>
          <w:color w:val="000000" w:themeColor="text1"/>
          <w:kern w:val="36"/>
          <w:lang w:val="en-US"/>
        </w:rPr>
        <w:t>In-depth analysis of the human tear proteome.</w:t>
      </w:r>
      <w:r w:rsidRPr="00004507">
        <w:rPr>
          <w:rFonts w:ascii="Arial" w:hAnsi="Arial" w:cs="Arial"/>
          <w:color w:val="000000" w:themeColor="text1"/>
          <w:shd w:val="clear" w:color="auto" w:fill="FFFFFF"/>
          <w:lang w:val="en-US"/>
        </w:rPr>
        <w:t xml:space="preserve"> Journal of Proteomics</w:t>
      </w:r>
      <w:r w:rsidRPr="00004507">
        <w:rPr>
          <w:rStyle w:val="apple-converted-space"/>
          <w:rFonts w:ascii="Arial" w:hAnsi="Arial" w:cs="Arial"/>
          <w:color w:val="000000" w:themeColor="text1"/>
          <w:shd w:val="clear" w:color="auto" w:fill="FFFFFF"/>
          <w:lang w:val="en-US"/>
        </w:rPr>
        <w:t> </w:t>
      </w:r>
      <w:r w:rsidRPr="00004507">
        <w:rPr>
          <w:rFonts w:ascii="Arial" w:hAnsi="Arial" w:cs="Arial"/>
          <w:color w:val="000000" w:themeColor="text1"/>
          <w:shd w:val="clear" w:color="auto" w:fill="FFFFFF"/>
          <w:lang w:val="en-US"/>
        </w:rPr>
        <w:t xml:space="preserve">75(13):3877-85. </w:t>
      </w: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10.1016/j.jprot.2012.04.053</w:t>
      </w:r>
    </w:p>
    <w:p w14:paraId="71854690"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Mackness</w:t>
      </w:r>
      <w:proofErr w:type="spellEnd"/>
      <w:r w:rsidRPr="00004507">
        <w:rPr>
          <w:rFonts w:ascii="Arial" w:hAnsi="Arial" w:cs="Arial"/>
          <w:color w:val="000000" w:themeColor="text1"/>
          <w:lang w:val="en-US"/>
        </w:rPr>
        <w:t xml:space="preserve"> B, </w:t>
      </w:r>
      <w:proofErr w:type="spellStart"/>
      <w:r w:rsidRPr="00004507">
        <w:rPr>
          <w:rFonts w:ascii="Arial" w:hAnsi="Arial" w:cs="Arial"/>
          <w:color w:val="000000" w:themeColor="text1"/>
          <w:lang w:val="en-US"/>
        </w:rPr>
        <w:t>Mackness</w:t>
      </w:r>
      <w:proofErr w:type="spellEnd"/>
      <w:r w:rsidRPr="00004507">
        <w:rPr>
          <w:rFonts w:ascii="Arial" w:hAnsi="Arial" w:cs="Arial"/>
          <w:color w:val="000000" w:themeColor="text1"/>
          <w:lang w:val="en-US"/>
        </w:rPr>
        <w:t xml:space="preserve"> M (2010) Anti-inflammatory properties of paraoxonase-1 in atherosclerosis. </w:t>
      </w:r>
      <w:proofErr w:type="spellStart"/>
      <w:r w:rsidRPr="00004507">
        <w:rPr>
          <w:rFonts w:ascii="Arial" w:hAnsi="Arial" w:cs="Arial"/>
          <w:color w:val="000000" w:themeColor="text1"/>
          <w:lang w:val="en-US"/>
        </w:rPr>
        <w:t>Adv</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Exp</w:t>
      </w:r>
      <w:proofErr w:type="spellEnd"/>
      <w:r w:rsidRPr="00004507">
        <w:rPr>
          <w:rFonts w:ascii="Arial" w:hAnsi="Arial" w:cs="Arial"/>
          <w:color w:val="000000" w:themeColor="text1"/>
          <w:lang w:val="en-US"/>
        </w:rPr>
        <w:t xml:space="preserve"> Med </w:t>
      </w:r>
      <w:proofErr w:type="spellStart"/>
      <w:r w:rsidRPr="00004507">
        <w:rPr>
          <w:rFonts w:ascii="Arial" w:hAnsi="Arial" w:cs="Arial"/>
          <w:color w:val="000000" w:themeColor="text1"/>
          <w:lang w:val="en-US"/>
        </w:rPr>
        <w:t>Biol</w:t>
      </w:r>
      <w:proofErr w:type="spellEnd"/>
      <w:r w:rsidRPr="00004507">
        <w:rPr>
          <w:rFonts w:ascii="Arial" w:hAnsi="Arial" w:cs="Arial"/>
          <w:color w:val="000000" w:themeColor="text1"/>
          <w:lang w:val="en-US"/>
        </w:rPr>
        <w:t xml:space="preserve"> 660:143-51. </w:t>
      </w:r>
    </w:p>
    <w:p w14:paraId="20F0EA17"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10.1007/978-1-60761-350-3_13</w:t>
      </w:r>
    </w:p>
    <w:p w14:paraId="55513DDC"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Aharoni</w:t>
      </w:r>
      <w:proofErr w:type="spellEnd"/>
      <w:r w:rsidRPr="00004507">
        <w:rPr>
          <w:rFonts w:ascii="Arial" w:hAnsi="Arial" w:cs="Arial"/>
          <w:color w:val="000000" w:themeColor="text1"/>
          <w:lang w:val="en-US"/>
        </w:rPr>
        <w:t xml:space="preserve"> S, </w:t>
      </w:r>
      <w:proofErr w:type="spellStart"/>
      <w:r w:rsidRPr="00004507">
        <w:rPr>
          <w:rFonts w:ascii="Arial" w:hAnsi="Arial" w:cs="Arial"/>
          <w:color w:val="000000" w:themeColor="text1"/>
          <w:lang w:val="en-US"/>
        </w:rPr>
        <w:t>Aviram</w:t>
      </w:r>
      <w:proofErr w:type="spellEnd"/>
      <w:r w:rsidRPr="00004507">
        <w:rPr>
          <w:rFonts w:ascii="Arial" w:hAnsi="Arial" w:cs="Arial"/>
          <w:color w:val="000000" w:themeColor="text1"/>
          <w:lang w:val="en-US"/>
        </w:rPr>
        <w:t xml:space="preserve"> M, Fuhrman B (2013) Paraoxonase 1 (PON1) reduces macrophage inflammatory responses. Atherosclerosis 228(2):353-61.</w:t>
      </w:r>
    </w:p>
    <w:p w14:paraId="28BF0208"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10.1016/j.atherosclerosis.2013.03.005</w:t>
      </w:r>
    </w:p>
    <w:p w14:paraId="42BDAFF8"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Deakin</w:t>
      </w:r>
      <w:proofErr w:type="spellEnd"/>
      <w:r w:rsidRPr="00004507">
        <w:rPr>
          <w:rFonts w:ascii="Arial" w:hAnsi="Arial" w:cs="Arial"/>
          <w:color w:val="000000" w:themeColor="text1"/>
          <w:lang w:val="en-US"/>
        </w:rPr>
        <w:t xml:space="preserve"> SP, James RW (2004) Genetic and environmental factors modulating serum concentrations and activities of the antioxidant enzyme paraoxonase-1.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Sci</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Lond</w:t>
      </w:r>
      <w:proofErr w:type="spellEnd"/>
      <w:r w:rsidRPr="00004507">
        <w:rPr>
          <w:rFonts w:ascii="Arial" w:hAnsi="Arial" w:cs="Arial"/>
          <w:color w:val="000000" w:themeColor="text1"/>
          <w:lang w:val="en-US"/>
        </w:rPr>
        <w:t xml:space="preserve">) 107(5):435-447. </w:t>
      </w:r>
    </w:p>
    <w:p w14:paraId="02148661"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10.1042/CS20040187</w:t>
      </w:r>
    </w:p>
    <w:p w14:paraId="6873DD13"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Garin</w:t>
      </w:r>
      <w:proofErr w:type="spellEnd"/>
      <w:r w:rsidRPr="00004507">
        <w:rPr>
          <w:rFonts w:ascii="Arial" w:hAnsi="Arial" w:cs="Arial"/>
          <w:color w:val="000000" w:themeColor="text1"/>
          <w:lang w:val="en-US"/>
        </w:rPr>
        <w:t xml:space="preserve"> MC, James RW, </w:t>
      </w:r>
      <w:proofErr w:type="spellStart"/>
      <w:r w:rsidRPr="00004507">
        <w:rPr>
          <w:rFonts w:ascii="Arial" w:hAnsi="Arial" w:cs="Arial"/>
          <w:color w:val="000000" w:themeColor="text1"/>
          <w:lang w:val="en-US"/>
        </w:rPr>
        <w:t>Dussoix</w:t>
      </w:r>
      <w:proofErr w:type="spellEnd"/>
      <w:r w:rsidRPr="00004507">
        <w:rPr>
          <w:rFonts w:ascii="Arial" w:hAnsi="Arial" w:cs="Arial"/>
          <w:color w:val="000000" w:themeColor="text1"/>
          <w:lang w:val="en-US"/>
        </w:rPr>
        <w:t xml:space="preserve"> P, </w:t>
      </w:r>
      <w:proofErr w:type="spellStart"/>
      <w:r w:rsidRPr="00004507">
        <w:rPr>
          <w:rFonts w:ascii="Arial" w:hAnsi="Arial" w:cs="Arial"/>
          <w:color w:val="000000" w:themeColor="text1"/>
          <w:shd w:val="clear" w:color="auto" w:fill="FFFFFF"/>
          <w:lang w:val="en-US"/>
        </w:rPr>
        <w:t>Blanché</w:t>
      </w:r>
      <w:proofErr w:type="spellEnd"/>
      <w:r w:rsidRPr="00004507">
        <w:rPr>
          <w:rFonts w:ascii="Arial" w:hAnsi="Arial" w:cs="Arial"/>
          <w:color w:val="000000" w:themeColor="text1"/>
          <w:shd w:val="clear" w:color="auto" w:fill="FFFFFF"/>
          <w:lang w:val="en-US"/>
        </w:rPr>
        <w:t xml:space="preserve"> H, </w:t>
      </w:r>
      <w:proofErr w:type="spellStart"/>
      <w:r w:rsidRPr="00004507">
        <w:rPr>
          <w:rFonts w:ascii="Arial" w:hAnsi="Arial" w:cs="Arial"/>
          <w:color w:val="000000" w:themeColor="text1"/>
          <w:shd w:val="clear" w:color="auto" w:fill="FFFFFF"/>
          <w:lang w:val="en-US"/>
        </w:rPr>
        <w:t>Passa</w:t>
      </w:r>
      <w:proofErr w:type="spellEnd"/>
      <w:r w:rsidRPr="00004507">
        <w:rPr>
          <w:rFonts w:ascii="Arial" w:hAnsi="Arial" w:cs="Arial"/>
          <w:color w:val="000000" w:themeColor="text1"/>
          <w:shd w:val="clear" w:color="auto" w:fill="FFFFFF"/>
          <w:lang w:val="en-US"/>
        </w:rPr>
        <w:t xml:space="preserve"> P, </w:t>
      </w:r>
      <w:proofErr w:type="spellStart"/>
      <w:r w:rsidRPr="00004507">
        <w:rPr>
          <w:rFonts w:ascii="Arial" w:hAnsi="Arial" w:cs="Arial"/>
          <w:color w:val="000000" w:themeColor="text1"/>
          <w:shd w:val="clear" w:color="auto" w:fill="FFFFFF"/>
          <w:lang w:val="en-US"/>
        </w:rPr>
        <w:t>Froguel</w:t>
      </w:r>
      <w:proofErr w:type="spellEnd"/>
      <w:r w:rsidRPr="00004507">
        <w:rPr>
          <w:rFonts w:ascii="Arial" w:hAnsi="Arial" w:cs="Arial"/>
          <w:color w:val="000000" w:themeColor="text1"/>
          <w:shd w:val="clear" w:color="auto" w:fill="FFFFFF"/>
          <w:lang w:val="en-US"/>
        </w:rPr>
        <w:t xml:space="preserve"> P, Ruiz J (</w:t>
      </w:r>
      <w:r w:rsidRPr="00004507">
        <w:rPr>
          <w:rFonts w:ascii="Arial" w:hAnsi="Arial" w:cs="Arial"/>
          <w:color w:val="000000" w:themeColor="text1"/>
          <w:lang w:val="en-US"/>
        </w:rPr>
        <w:t>1997) Paraoxonase polymorphism Met-</w:t>
      </w:r>
      <w:proofErr w:type="spellStart"/>
      <w:r w:rsidRPr="00004507">
        <w:rPr>
          <w:rFonts w:ascii="Arial" w:hAnsi="Arial" w:cs="Arial"/>
          <w:color w:val="000000" w:themeColor="text1"/>
          <w:lang w:val="en-US"/>
        </w:rPr>
        <w:t>Leu</w:t>
      </w:r>
      <w:proofErr w:type="spellEnd"/>
      <w:r w:rsidRPr="00004507">
        <w:rPr>
          <w:rFonts w:ascii="Arial" w:hAnsi="Arial" w:cs="Arial"/>
          <w:color w:val="000000" w:themeColor="text1"/>
          <w:lang w:val="en-US"/>
        </w:rPr>
        <w:t xml:space="preserve"> 54 is associated with modified serum concentrations of the enzyme. A possible link between the paraoxonase gene and increased risk of cardiovascular disease in diabetes. J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Invest 99:62-6.</w:t>
      </w:r>
      <w:r w:rsidRPr="00004507">
        <w:rPr>
          <w:rFonts w:ascii="Arial" w:hAnsi="Arial" w:cs="Arial"/>
          <w:color w:val="000000" w:themeColor="text1"/>
          <w:shd w:val="clear" w:color="auto" w:fill="FFFFFF"/>
          <w:lang w:val="en-US"/>
        </w:rPr>
        <w:t xml:space="preserve"> </w:t>
      </w: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10.1172/JCI119134</w:t>
      </w:r>
    </w:p>
    <w:p w14:paraId="3FF517B1"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Brophy</w:t>
      </w:r>
      <w:proofErr w:type="spellEnd"/>
      <w:r w:rsidRPr="00004507">
        <w:rPr>
          <w:rFonts w:ascii="Arial" w:hAnsi="Arial" w:cs="Arial"/>
          <w:color w:val="000000" w:themeColor="text1"/>
          <w:lang w:val="en-US"/>
        </w:rPr>
        <w:t xml:space="preserve"> VH, </w:t>
      </w:r>
      <w:proofErr w:type="spellStart"/>
      <w:r w:rsidRPr="00004507">
        <w:rPr>
          <w:rFonts w:ascii="Arial" w:hAnsi="Arial" w:cs="Arial"/>
          <w:color w:val="000000" w:themeColor="text1"/>
          <w:lang w:val="en-US"/>
        </w:rPr>
        <w:t>Jampsa</w:t>
      </w:r>
      <w:proofErr w:type="spellEnd"/>
      <w:r w:rsidRPr="00004507">
        <w:rPr>
          <w:rFonts w:ascii="Arial" w:hAnsi="Arial" w:cs="Arial"/>
          <w:color w:val="000000" w:themeColor="text1"/>
          <w:lang w:val="en-US"/>
        </w:rPr>
        <w:t xml:space="preserve"> RL, </w:t>
      </w:r>
      <w:proofErr w:type="spellStart"/>
      <w:r w:rsidRPr="00004507">
        <w:rPr>
          <w:rFonts w:ascii="Arial" w:hAnsi="Arial" w:cs="Arial"/>
          <w:color w:val="000000" w:themeColor="text1"/>
          <w:lang w:val="en-US"/>
        </w:rPr>
        <w:t>Clendenning</w:t>
      </w:r>
      <w:proofErr w:type="spellEnd"/>
      <w:r w:rsidRPr="00004507">
        <w:rPr>
          <w:rFonts w:ascii="Arial" w:hAnsi="Arial" w:cs="Arial"/>
          <w:color w:val="000000" w:themeColor="text1"/>
          <w:lang w:val="en-US"/>
        </w:rPr>
        <w:t xml:space="preserve"> JB, </w:t>
      </w:r>
      <w:proofErr w:type="spellStart"/>
      <w:r w:rsidRPr="00004507">
        <w:rPr>
          <w:rFonts w:ascii="Arial" w:hAnsi="Arial" w:cs="Arial"/>
          <w:color w:val="000000" w:themeColor="text1"/>
          <w:lang w:val="en-US"/>
        </w:rPr>
        <w:t>McKinstry</w:t>
      </w:r>
      <w:proofErr w:type="spellEnd"/>
      <w:r w:rsidRPr="00004507">
        <w:rPr>
          <w:rFonts w:ascii="Arial" w:hAnsi="Arial" w:cs="Arial"/>
          <w:color w:val="000000" w:themeColor="text1"/>
          <w:lang w:val="en-US"/>
        </w:rPr>
        <w:t xml:space="preserve"> LA, </w:t>
      </w:r>
      <w:proofErr w:type="spellStart"/>
      <w:r w:rsidRPr="00004507">
        <w:rPr>
          <w:rFonts w:ascii="Arial" w:hAnsi="Arial" w:cs="Arial"/>
          <w:color w:val="000000" w:themeColor="text1"/>
          <w:lang w:val="en-US"/>
        </w:rPr>
        <w:t>Jarvik</w:t>
      </w:r>
      <w:proofErr w:type="spellEnd"/>
      <w:r w:rsidRPr="00004507">
        <w:rPr>
          <w:rFonts w:ascii="Arial" w:hAnsi="Arial" w:cs="Arial"/>
          <w:color w:val="000000" w:themeColor="text1"/>
          <w:lang w:val="en-US"/>
        </w:rPr>
        <w:t xml:space="preserve"> GP, Furlong CE (2001) Effects of 5’ regulatory-region polymorphisms on paraoxonase gene (PON1) expression. </w:t>
      </w:r>
      <w:proofErr w:type="gramStart"/>
      <w:r w:rsidRPr="00004507">
        <w:rPr>
          <w:rFonts w:ascii="Arial" w:hAnsi="Arial" w:cs="Arial"/>
          <w:color w:val="000000" w:themeColor="text1"/>
          <w:lang w:val="en-US"/>
        </w:rPr>
        <w:t>Am</w:t>
      </w:r>
      <w:proofErr w:type="gramEnd"/>
      <w:r w:rsidRPr="00004507">
        <w:rPr>
          <w:rFonts w:ascii="Arial" w:hAnsi="Arial" w:cs="Arial"/>
          <w:color w:val="000000" w:themeColor="text1"/>
          <w:lang w:val="en-US"/>
        </w:rPr>
        <w:t xml:space="preserve"> J Hum Genet 68:1428-36. </w:t>
      </w:r>
    </w:p>
    <w:p w14:paraId="389AC076"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10.1086/320600</w:t>
      </w:r>
    </w:p>
    <w:p w14:paraId="23D63C92"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Debord</w:t>
      </w:r>
      <w:proofErr w:type="spellEnd"/>
      <w:r w:rsidRPr="00004507">
        <w:rPr>
          <w:rFonts w:ascii="Arial" w:hAnsi="Arial" w:cs="Arial"/>
          <w:color w:val="000000" w:themeColor="text1"/>
          <w:lang w:val="en-US"/>
        </w:rPr>
        <w:t xml:space="preserve"> J, </w:t>
      </w:r>
      <w:proofErr w:type="spellStart"/>
      <w:r w:rsidRPr="00004507">
        <w:rPr>
          <w:rFonts w:ascii="Arial" w:hAnsi="Arial" w:cs="Arial"/>
          <w:color w:val="000000" w:themeColor="text1"/>
          <w:lang w:val="en-US"/>
        </w:rPr>
        <w:t>Dantoine</w:t>
      </w:r>
      <w:proofErr w:type="spellEnd"/>
      <w:r w:rsidRPr="00004507">
        <w:rPr>
          <w:rFonts w:ascii="Arial" w:hAnsi="Arial" w:cs="Arial"/>
          <w:color w:val="000000" w:themeColor="text1"/>
          <w:lang w:val="en-US"/>
        </w:rPr>
        <w:t xml:space="preserve"> T, Bollinger JC, Abraham MH, </w:t>
      </w:r>
      <w:proofErr w:type="spellStart"/>
      <w:r w:rsidRPr="00004507">
        <w:rPr>
          <w:rFonts w:ascii="Arial" w:hAnsi="Arial" w:cs="Arial"/>
          <w:color w:val="000000" w:themeColor="text1"/>
          <w:lang w:val="en-US"/>
        </w:rPr>
        <w:t>Verneuil</w:t>
      </w:r>
      <w:proofErr w:type="spellEnd"/>
      <w:r w:rsidRPr="00004507">
        <w:rPr>
          <w:rFonts w:ascii="Arial" w:hAnsi="Arial" w:cs="Arial"/>
          <w:color w:val="000000" w:themeColor="text1"/>
          <w:lang w:val="en-US"/>
        </w:rPr>
        <w:t xml:space="preserve"> B, Merle L (1998) Inhibition of </w:t>
      </w:r>
      <w:proofErr w:type="spellStart"/>
      <w:r w:rsidRPr="00004507">
        <w:rPr>
          <w:rFonts w:ascii="Arial" w:hAnsi="Arial" w:cs="Arial"/>
          <w:color w:val="000000" w:themeColor="text1"/>
          <w:lang w:val="en-US"/>
        </w:rPr>
        <w:t>arylesterase</w:t>
      </w:r>
      <w:proofErr w:type="spellEnd"/>
      <w:r w:rsidRPr="00004507">
        <w:rPr>
          <w:rFonts w:ascii="Arial" w:hAnsi="Arial" w:cs="Arial"/>
          <w:color w:val="000000" w:themeColor="text1"/>
          <w:lang w:val="en-US"/>
        </w:rPr>
        <w:t xml:space="preserve"> by aliphatic alcohols. </w:t>
      </w:r>
      <w:proofErr w:type="spellStart"/>
      <w:r w:rsidRPr="00004507">
        <w:rPr>
          <w:rFonts w:ascii="Arial" w:hAnsi="Arial" w:cs="Arial"/>
          <w:color w:val="000000" w:themeColor="text1"/>
          <w:lang w:val="en-US"/>
        </w:rPr>
        <w:t>Chem</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Biol</w:t>
      </w:r>
      <w:proofErr w:type="spellEnd"/>
      <w:r w:rsidRPr="00004507">
        <w:rPr>
          <w:rFonts w:ascii="Arial" w:hAnsi="Arial" w:cs="Arial"/>
          <w:color w:val="000000" w:themeColor="text1"/>
          <w:lang w:val="en-US"/>
        </w:rPr>
        <w:t xml:space="preserve"> Interact 113:105-15. https://doi.org/10.1016/S0009-2797(98)00018-0</w:t>
      </w:r>
    </w:p>
    <w:p w14:paraId="6CDE6E60"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 xml:space="preserve">James RW, </w:t>
      </w:r>
      <w:proofErr w:type="spellStart"/>
      <w:r w:rsidRPr="00004507">
        <w:rPr>
          <w:rFonts w:ascii="Arial" w:hAnsi="Arial" w:cs="Arial"/>
          <w:color w:val="000000" w:themeColor="text1"/>
          <w:lang w:val="en-US"/>
        </w:rPr>
        <w:t>Leviev</w:t>
      </w:r>
      <w:proofErr w:type="spellEnd"/>
      <w:r w:rsidRPr="00004507">
        <w:rPr>
          <w:rFonts w:ascii="Arial" w:hAnsi="Arial" w:cs="Arial"/>
          <w:color w:val="000000" w:themeColor="text1"/>
          <w:lang w:val="en-US"/>
        </w:rPr>
        <w:t xml:space="preserve"> I, </w:t>
      </w:r>
      <w:proofErr w:type="spellStart"/>
      <w:proofErr w:type="gramStart"/>
      <w:r w:rsidRPr="00004507">
        <w:rPr>
          <w:rFonts w:ascii="Arial" w:hAnsi="Arial" w:cs="Arial"/>
          <w:color w:val="000000" w:themeColor="text1"/>
          <w:lang w:val="en-US"/>
        </w:rPr>
        <w:t>Righetti</w:t>
      </w:r>
      <w:proofErr w:type="spellEnd"/>
      <w:proofErr w:type="gramEnd"/>
      <w:r w:rsidRPr="00004507">
        <w:rPr>
          <w:rFonts w:ascii="Arial" w:hAnsi="Arial" w:cs="Arial"/>
          <w:color w:val="000000" w:themeColor="text1"/>
          <w:lang w:val="en-US"/>
        </w:rPr>
        <w:t xml:space="preserve"> A (2000) Smoking is associated with reduced serum paraoxonase activity and concentration in patients with coronary artery disease. Circulation 101:2252-57.</w:t>
      </w:r>
    </w:p>
    <w:p w14:paraId="2C3D41B4"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rPr>
        <w:t>https://doi.org/10.1161/01.CIR.101.19.2252</w:t>
      </w:r>
    </w:p>
    <w:p w14:paraId="450E4E5D"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Tomás</w:t>
      </w:r>
      <w:proofErr w:type="spellEnd"/>
      <w:r w:rsidRPr="00004507">
        <w:rPr>
          <w:rFonts w:ascii="Arial" w:hAnsi="Arial" w:cs="Arial"/>
          <w:color w:val="000000" w:themeColor="text1"/>
          <w:lang w:val="en-US"/>
        </w:rPr>
        <w:t xml:space="preserve"> M, </w:t>
      </w:r>
      <w:proofErr w:type="spellStart"/>
      <w:r w:rsidRPr="00004507">
        <w:rPr>
          <w:rFonts w:ascii="Arial" w:hAnsi="Arial" w:cs="Arial"/>
          <w:color w:val="000000" w:themeColor="text1"/>
          <w:lang w:val="en-US"/>
        </w:rPr>
        <w:t>Sentí</w:t>
      </w:r>
      <w:proofErr w:type="spellEnd"/>
      <w:r w:rsidRPr="00004507">
        <w:rPr>
          <w:rFonts w:ascii="Arial" w:hAnsi="Arial" w:cs="Arial"/>
          <w:color w:val="000000" w:themeColor="text1"/>
          <w:lang w:val="en-US"/>
        </w:rPr>
        <w:t xml:space="preserve"> M, </w:t>
      </w:r>
      <w:proofErr w:type="spellStart"/>
      <w:r w:rsidRPr="00004507">
        <w:rPr>
          <w:rFonts w:ascii="Arial" w:hAnsi="Arial" w:cs="Arial"/>
          <w:color w:val="000000" w:themeColor="text1"/>
          <w:lang w:val="en-US"/>
        </w:rPr>
        <w:t>Elosua</w:t>
      </w:r>
      <w:proofErr w:type="spellEnd"/>
      <w:r w:rsidRPr="00004507">
        <w:rPr>
          <w:rFonts w:ascii="Arial" w:hAnsi="Arial" w:cs="Arial"/>
          <w:color w:val="000000" w:themeColor="text1"/>
          <w:lang w:val="en-US"/>
        </w:rPr>
        <w:t xml:space="preserve"> R, </w:t>
      </w:r>
      <w:r w:rsidRPr="00004507">
        <w:rPr>
          <w:rFonts w:ascii="Arial" w:hAnsi="Arial" w:cs="Arial"/>
          <w:color w:val="000000" w:themeColor="text1"/>
          <w:shd w:val="clear" w:color="auto" w:fill="FFFFFF"/>
          <w:lang w:val="en-US"/>
        </w:rPr>
        <w:t>Vila J, </w:t>
      </w:r>
      <w:proofErr w:type="spellStart"/>
      <w:r w:rsidRPr="00004507">
        <w:rPr>
          <w:rFonts w:ascii="Arial" w:hAnsi="Arial" w:cs="Arial"/>
          <w:color w:val="000000" w:themeColor="text1"/>
          <w:shd w:val="clear" w:color="auto" w:fill="FFFFFF"/>
          <w:lang w:val="en-US"/>
        </w:rPr>
        <w:t>Sala</w:t>
      </w:r>
      <w:proofErr w:type="spellEnd"/>
      <w:r w:rsidRPr="00004507">
        <w:rPr>
          <w:rFonts w:ascii="Arial" w:hAnsi="Arial" w:cs="Arial"/>
          <w:color w:val="000000" w:themeColor="text1"/>
          <w:shd w:val="clear" w:color="auto" w:fill="FFFFFF"/>
          <w:lang w:val="en-US"/>
        </w:rPr>
        <w:t xml:space="preserve"> J, </w:t>
      </w:r>
      <w:proofErr w:type="spellStart"/>
      <w:r w:rsidRPr="00004507">
        <w:rPr>
          <w:rFonts w:ascii="Arial" w:hAnsi="Arial" w:cs="Arial"/>
          <w:color w:val="000000" w:themeColor="text1"/>
          <w:shd w:val="clear" w:color="auto" w:fill="FFFFFF"/>
          <w:lang w:val="en-US"/>
        </w:rPr>
        <w:t>Masià</w:t>
      </w:r>
      <w:proofErr w:type="spellEnd"/>
      <w:r w:rsidRPr="00004507">
        <w:rPr>
          <w:rFonts w:ascii="Arial" w:hAnsi="Arial" w:cs="Arial"/>
          <w:color w:val="000000" w:themeColor="text1"/>
          <w:shd w:val="clear" w:color="auto" w:fill="FFFFFF"/>
          <w:lang w:val="en-US"/>
        </w:rPr>
        <w:t xml:space="preserve"> R, </w:t>
      </w:r>
      <w:proofErr w:type="spellStart"/>
      <w:r w:rsidRPr="00004507">
        <w:rPr>
          <w:rFonts w:ascii="Arial" w:hAnsi="Arial" w:cs="Arial"/>
          <w:color w:val="000000" w:themeColor="text1"/>
          <w:shd w:val="clear" w:color="auto" w:fill="FFFFFF"/>
          <w:lang w:val="en-US"/>
        </w:rPr>
        <w:t>Marrugat</w:t>
      </w:r>
      <w:proofErr w:type="spellEnd"/>
      <w:r w:rsidRPr="00004507">
        <w:rPr>
          <w:rFonts w:ascii="Arial" w:hAnsi="Arial" w:cs="Arial"/>
          <w:color w:val="000000" w:themeColor="text1"/>
          <w:shd w:val="clear" w:color="auto" w:fill="FFFFFF"/>
          <w:lang w:val="en-US"/>
        </w:rPr>
        <w:t xml:space="preserve"> J (</w:t>
      </w:r>
      <w:r w:rsidRPr="00004507">
        <w:rPr>
          <w:rFonts w:ascii="Arial" w:hAnsi="Arial" w:cs="Arial"/>
          <w:color w:val="000000" w:themeColor="text1"/>
          <w:lang w:val="en-US"/>
        </w:rPr>
        <w:t xml:space="preserve">2001) Interaction between the </w:t>
      </w:r>
      <w:proofErr w:type="spellStart"/>
      <w:r w:rsidRPr="00004507">
        <w:rPr>
          <w:rFonts w:ascii="Arial" w:hAnsi="Arial" w:cs="Arial"/>
          <w:color w:val="000000" w:themeColor="text1"/>
          <w:lang w:val="en-US"/>
        </w:rPr>
        <w:t>Gln-Arg</w:t>
      </w:r>
      <w:proofErr w:type="spellEnd"/>
      <w:r w:rsidRPr="00004507">
        <w:rPr>
          <w:rFonts w:ascii="Arial" w:hAnsi="Arial" w:cs="Arial"/>
          <w:color w:val="000000" w:themeColor="text1"/>
          <w:lang w:val="en-US"/>
        </w:rPr>
        <w:t xml:space="preserve"> 192 variants of the paraoxonase gene and oleic acid intake as a </w:t>
      </w:r>
      <w:r w:rsidRPr="00004507">
        <w:rPr>
          <w:rFonts w:ascii="Arial" w:hAnsi="Arial" w:cs="Arial"/>
          <w:color w:val="000000" w:themeColor="text1"/>
          <w:lang w:val="en-US"/>
        </w:rPr>
        <w:lastRenderedPageBreak/>
        <w:t xml:space="preserve">determinant of high-density lipoprotein cholesterol and paraoxonase activity. </w:t>
      </w:r>
      <w:proofErr w:type="spellStart"/>
      <w:r w:rsidRPr="00004507">
        <w:rPr>
          <w:rFonts w:ascii="Arial" w:hAnsi="Arial" w:cs="Arial"/>
          <w:color w:val="000000" w:themeColor="text1"/>
          <w:lang w:val="en-US"/>
        </w:rPr>
        <w:t>Eur</w:t>
      </w:r>
      <w:proofErr w:type="spellEnd"/>
      <w:r w:rsidRPr="00004507">
        <w:rPr>
          <w:rFonts w:ascii="Arial" w:hAnsi="Arial" w:cs="Arial"/>
          <w:color w:val="000000" w:themeColor="text1"/>
          <w:lang w:val="en-US"/>
        </w:rPr>
        <w:t xml:space="preserve"> J </w:t>
      </w:r>
      <w:proofErr w:type="spellStart"/>
      <w:r w:rsidRPr="00004507">
        <w:rPr>
          <w:rFonts w:ascii="Arial" w:hAnsi="Arial" w:cs="Arial"/>
          <w:color w:val="000000" w:themeColor="text1"/>
          <w:lang w:val="en-US"/>
        </w:rPr>
        <w:t>Pharmacol</w:t>
      </w:r>
      <w:proofErr w:type="spellEnd"/>
      <w:r w:rsidRPr="00004507">
        <w:rPr>
          <w:rFonts w:ascii="Arial" w:hAnsi="Arial" w:cs="Arial"/>
          <w:color w:val="000000" w:themeColor="text1"/>
          <w:lang w:val="en-US"/>
        </w:rPr>
        <w:t xml:space="preserve"> 432(2-3):121-128. </w:t>
      </w:r>
    </w:p>
    <w:p w14:paraId="50E1138F"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https://doi.org/10.1016/S0014-</w:t>
      </w:r>
      <w:proofErr w:type="gramStart"/>
      <w:r w:rsidRPr="00004507">
        <w:rPr>
          <w:rFonts w:ascii="Arial" w:hAnsi="Arial" w:cs="Arial"/>
          <w:color w:val="000000" w:themeColor="text1"/>
          <w:lang w:val="en-US"/>
        </w:rPr>
        <w:t>2999(</w:t>
      </w:r>
      <w:proofErr w:type="gramEnd"/>
      <w:r w:rsidRPr="00004507">
        <w:rPr>
          <w:rFonts w:ascii="Arial" w:hAnsi="Arial" w:cs="Arial"/>
          <w:color w:val="000000" w:themeColor="text1"/>
          <w:lang w:val="en-US"/>
        </w:rPr>
        <w:t>01)01482-0</w:t>
      </w:r>
    </w:p>
    <w:p w14:paraId="65B8439E"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Rao</w:t>
      </w:r>
      <w:proofErr w:type="spellEnd"/>
      <w:r w:rsidRPr="00004507">
        <w:rPr>
          <w:rFonts w:ascii="Arial" w:hAnsi="Arial" w:cs="Arial"/>
          <w:color w:val="000000" w:themeColor="text1"/>
          <w:lang w:val="en-US"/>
        </w:rPr>
        <w:t xml:space="preserve"> MN, </w:t>
      </w:r>
      <w:proofErr w:type="spellStart"/>
      <w:r w:rsidRPr="00004507">
        <w:rPr>
          <w:rFonts w:ascii="Arial" w:hAnsi="Arial" w:cs="Arial"/>
          <w:color w:val="000000" w:themeColor="text1"/>
          <w:lang w:val="en-US"/>
        </w:rPr>
        <w:t>Marmillot</w:t>
      </w:r>
      <w:proofErr w:type="spellEnd"/>
      <w:r w:rsidRPr="00004507">
        <w:rPr>
          <w:rFonts w:ascii="Arial" w:hAnsi="Arial" w:cs="Arial"/>
          <w:color w:val="000000" w:themeColor="text1"/>
          <w:lang w:val="en-US"/>
        </w:rPr>
        <w:t xml:space="preserve"> P, Gong M, Palmer DA, </w:t>
      </w:r>
      <w:proofErr w:type="spellStart"/>
      <w:r w:rsidRPr="00004507">
        <w:rPr>
          <w:rFonts w:ascii="Arial" w:hAnsi="Arial" w:cs="Arial"/>
          <w:color w:val="000000" w:themeColor="text1"/>
          <w:lang w:val="en-US"/>
        </w:rPr>
        <w:t>Seeff</w:t>
      </w:r>
      <w:proofErr w:type="spellEnd"/>
      <w:r w:rsidRPr="00004507">
        <w:rPr>
          <w:rFonts w:ascii="Arial" w:hAnsi="Arial" w:cs="Arial"/>
          <w:color w:val="000000" w:themeColor="text1"/>
          <w:lang w:val="en-US"/>
        </w:rPr>
        <w:t xml:space="preserve"> LB, </w:t>
      </w:r>
      <w:proofErr w:type="spellStart"/>
      <w:r w:rsidRPr="00004507">
        <w:rPr>
          <w:rFonts w:ascii="Arial" w:hAnsi="Arial" w:cs="Arial"/>
          <w:color w:val="000000" w:themeColor="text1"/>
          <w:lang w:val="en-US"/>
        </w:rPr>
        <w:t>Strader</w:t>
      </w:r>
      <w:proofErr w:type="spellEnd"/>
      <w:r w:rsidRPr="00004507">
        <w:rPr>
          <w:rFonts w:ascii="Arial" w:hAnsi="Arial" w:cs="Arial"/>
          <w:color w:val="000000" w:themeColor="text1"/>
          <w:lang w:val="en-US"/>
        </w:rPr>
        <w:t xml:space="preserve"> DB, </w:t>
      </w:r>
      <w:proofErr w:type="spellStart"/>
      <w:r w:rsidRPr="00004507">
        <w:rPr>
          <w:rFonts w:ascii="Arial" w:hAnsi="Arial" w:cs="Arial"/>
          <w:color w:val="000000" w:themeColor="text1"/>
          <w:lang w:val="en-US"/>
        </w:rPr>
        <w:t>Lakshman</w:t>
      </w:r>
      <w:proofErr w:type="spellEnd"/>
      <w:r w:rsidRPr="00004507">
        <w:rPr>
          <w:rFonts w:ascii="Arial" w:hAnsi="Arial" w:cs="Arial"/>
          <w:color w:val="000000" w:themeColor="text1"/>
          <w:lang w:val="en-US"/>
        </w:rPr>
        <w:t xml:space="preserve"> MR (2003) Light, but not heavy alcohol drinking, stimulates paraoxonase by </w:t>
      </w:r>
      <w:proofErr w:type="spellStart"/>
      <w:r w:rsidRPr="00004507">
        <w:rPr>
          <w:rFonts w:ascii="Arial" w:hAnsi="Arial" w:cs="Arial"/>
          <w:color w:val="000000" w:themeColor="text1"/>
          <w:lang w:val="en-US"/>
        </w:rPr>
        <w:t>upregulating</w:t>
      </w:r>
      <w:proofErr w:type="spellEnd"/>
      <w:r w:rsidRPr="00004507">
        <w:rPr>
          <w:rFonts w:ascii="Arial" w:hAnsi="Arial" w:cs="Arial"/>
          <w:color w:val="000000" w:themeColor="text1"/>
          <w:lang w:val="en-US"/>
        </w:rPr>
        <w:t xml:space="preserve"> liver mRNA in rats and humans. Metabolism 52:1287-94. </w:t>
      </w:r>
    </w:p>
    <w:p w14:paraId="6906E91A"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https://doi.org/10.1016/S0026-</w:t>
      </w:r>
      <w:proofErr w:type="gramStart"/>
      <w:r w:rsidRPr="00004507">
        <w:rPr>
          <w:rFonts w:ascii="Arial" w:hAnsi="Arial" w:cs="Arial"/>
          <w:color w:val="000000" w:themeColor="text1"/>
          <w:lang w:val="en-US"/>
        </w:rPr>
        <w:t>0495(</w:t>
      </w:r>
      <w:proofErr w:type="gramEnd"/>
      <w:r w:rsidRPr="00004507">
        <w:rPr>
          <w:rFonts w:ascii="Arial" w:hAnsi="Arial" w:cs="Arial"/>
          <w:color w:val="000000" w:themeColor="text1"/>
          <w:lang w:val="en-US"/>
        </w:rPr>
        <w:t>03)00191-4</w:t>
      </w:r>
    </w:p>
    <w:p w14:paraId="49296914" w14:textId="36E341B5"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Aviram</w:t>
      </w:r>
      <w:proofErr w:type="spellEnd"/>
      <w:r w:rsidRPr="00004507">
        <w:rPr>
          <w:rFonts w:ascii="Arial" w:hAnsi="Arial" w:cs="Arial"/>
          <w:color w:val="000000" w:themeColor="text1"/>
          <w:lang w:val="en-US"/>
        </w:rPr>
        <w:t xml:space="preserve"> M, </w:t>
      </w:r>
      <w:proofErr w:type="spellStart"/>
      <w:r w:rsidRPr="00004507">
        <w:rPr>
          <w:rFonts w:ascii="Arial" w:hAnsi="Arial" w:cs="Arial"/>
          <w:color w:val="000000" w:themeColor="text1"/>
          <w:lang w:val="en-US"/>
        </w:rPr>
        <w:t>Rosenblat</w:t>
      </w:r>
      <w:proofErr w:type="spellEnd"/>
      <w:r w:rsidRPr="00004507">
        <w:rPr>
          <w:rFonts w:ascii="Arial" w:hAnsi="Arial" w:cs="Arial"/>
          <w:color w:val="000000" w:themeColor="text1"/>
          <w:lang w:val="en-US"/>
        </w:rPr>
        <w:t xml:space="preserve"> M, </w:t>
      </w:r>
      <w:proofErr w:type="spellStart"/>
      <w:r w:rsidRPr="00004507">
        <w:rPr>
          <w:rFonts w:ascii="Arial" w:hAnsi="Arial" w:cs="Arial"/>
          <w:color w:val="000000" w:themeColor="text1"/>
          <w:lang w:val="en-US"/>
        </w:rPr>
        <w:t>Gaitini</w:t>
      </w:r>
      <w:proofErr w:type="spellEnd"/>
      <w:r w:rsidRPr="00004507">
        <w:rPr>
          <w:rFonts w:ascii="Arial" w:hAnsi="Arial" w:cs="Arial"/>
          <w:color w:val="000000" w:themeColor="text1"/>
          <w:lang w:val="en-US"/>
        </w:rPr>
        <w:t xml:space="preserve"> D, </w:t>
      </w:r>
      <w:proofErr w:type="spellStart"/>
      <w:r w:rsidRPr="00004507">
        <w:rPr>
          <w:rFonts w:ascii="Arial" w:hAnsi="Arial" w:cs="Arial"/>
          <w:color w:val="000000" w:themeColor="text1"/>
          <w:lang w:val="en-US"/>
        </w:rPr>
        <w:t>Nitecki</w:t>
      </w:r>
      <w:proofErr w:type="spellEnd"/>
      <w:r w:rsidRPr="00004507">
        <w:rPr>
          <w:rFonts w:ascii="Arial" w:hAnsi="Arial" w:cs="Arial"/>
          <w:color w:val="000000" w:themeColor="text1"/>
          <w:lang w:val="en-US"/>
        </w:rPr>
        <w:t xml:space="preserve"> S, Hoffman A, </w:t>
      </w:r>
      <w:proofErr w:type="spellStart"/>
      <w:r w:rsidRPr="00004507">
        <w:rPr>
          <w:rFonts w:ascii="Arial" w:hAnsi="Arial" w:cs="Arial"/>
          <w:color w:val="000000" w:themeColor="text1"/>
          <w:lang w:val="en-US"/>
        </w:rPr>
        <w:t>Dornfeld</w:t>
      </w:r>
      <w:proofErr w:type="spellEnd"/>
      <w:r w:rsidRPr="00004507">
        <w:rPr>
          <w:rFonts w:ascii="Arial" w:hAnsi="Arial" w:cs="Arial"/>
          <w:color w:val="000000" w:themeColor="text1"/>
          <w:lang w:val="en-US"/>
        </w:rPr>
        <w:t xml:space="preserve"> L, </w:t>
      </w:r>
      <w:proofErr w:type="spellStart"/>
      <w:r w:rsidRPr="00004507">
        <w:rPr>
          <w:rFonts w:ascii="Arial" w:hAnsi="Arial" w:cs="Arial"/>
          <w:color w:val="000000" w:themeColor="text1"/>
          <w:lang w:val="en-US"/>
        </w:rPr>
        <w:t>Volkova</w:t>
      </w:r>
      <w:proofErr w:type="spellEnd"/>
      <w:r w:rsidRPr="00004507">
        <w:rPr>
          <w:rFonts w:ascii="Arial" w:hAnsi="Arial" w:cs="Arial"/>
          <w:color w:val="000000" w:themeColor="text1"/>
          <w:lang w:val="en-US"/>
        </w:rPr>
        <w:t xml:space="preserve"> N, Presser D, </w:t>
      </w:r>
      <w:proofErr w:type="spellStart"/>
      <w:r w:rsidRPr="00004507">
        <w:rPr>
          <w:rFonts w:ascii="Arial" w:hAnsi="Arial" w:cs="Arial"/>
          <w:color w:val="000000" w:themeColor="text1"/>
          <w:lang w:val="en-US"/>
        </w:rPr>
        <w:t>Attias</w:t>
      </w:r>
      <w:proofErr w:type="spellEnd"/>
      <w:r w:rsidRPr="00004507">
        <w:rPr>
          <w:rFonts w:ascii="Arial" w:hAnsi="Arial" w:cs="Arial"/>
          <w:color w:val="000000" w:themeColor="text1"/>
          <w:lang w:val="en-US"/>
        </w:rPr>
        <w:t xml:space="preserve"> J, Liker H, Hayek T (2004) Pomegranate juice consumption for 3 years by patients with carotid artery stenosis (CAS) reduces common carotid intima-media thickness (IMT), blood pressure and LDL oxidation.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Nutr</w:t>
      </w:r>
      <w:proofErr w:type="spellEnd"/>
      <w:r w:rsidRPr="00004507">
        <w:rPr>
          <w:rFonts w:ascii="Arial" w:hAnsi="Arial" w:cs="Arial"/>
          <w:color w:val="000000" w:themeColor="text1"/>
          <w:lang w:val="en-US"/>
        </w:rPr>
        <w:t xml:space="preserve"> 23:423-433. </w:t>
      </w:r>
      <w:r w:rsidRPr="00004507">
        <w:rPr>
          <w:rFonts w:ascii="Arial" w:hAnsi="Arial" w:cs="Arial"/>
          <w:lang w:val="en-US"/>
        </w:rPr>
        <w:t>https://doi.org/10.1016/j.clnu.2003.10.002</w:t>
      </w:r>
    </w:p>
    <w:p w14:paraId="54B10DEA"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eastAsia="Times New Roman" w:hAnsi="Arial" w:cs="Arial"/>
          <w:color w:val="000000" w:themeColor="text1"/>
          <w:lang w:val="en-US" w:eastAsia="tr-TR"/>
        </w:rPr>
      </w:pPr>
      <w:proofErr w:type="spellStart"/>
      <w:r w:rsidRPr="00004507">
        <w:rPr>
          <w:rFonts w:ascii="Arial" w:hAnsi="Arial" w:cs="Arial"/>
          <w:color w:val="000000" w:themeColor="text1"/>
          <w:shd w:val="clear" w:color="auto" w:fill="FFFFFF"/>
          <w:lang w:val="en-US"/>
        </w:rPr>
        <w:t>Mackness</w:t>
      </w:r>
      <w:proofErr w:type="spellEnd"/>
      <w:r w:rsidRPr="00004507">
        <w:rPr>
          <w:rFonts w:ascii="Arial" w:hAnsi="Arial" w:cs="Arial"/>
          <w:color w:val="000000" w:themeColor="text1"/>
          <w:shd w:val="clear" w:color="auto" w:fill="FFFFFF"/>
          <w:lang w:val="en-US"/>
        </w:rPr>
        <w:t xml:space="preserve"> M, </w:t>
      </w:r>
      <w:proofErr w:type="spellStart"/>
      <w:r w:rsidRPr="00004507">
        <w:rPr>
          <w:rFonts w:ascii="Arial" w:hAnsi="Arial" w:cs="Arial"/>
          <w:color w:val="000000" w:themeColor="text1"/>
          <w:shd w:val="clear" w:color="auto" w:fill="FFFFFF"/>
          <w:lang w:val="en-US"/>
        </w:rPr>
        <w:t>Mackness</w:t>
      </w:r>
      <w:proofErr w:type="spellEnd"/>
      <w:r w:rsidRPr="00004507">
        <w:rPr>
          <w:rFonts w:ascii="Arial" w:hAnsi="Arial" w:cs="Arial"/>
          <w:color w:val="000000" w:themeColor="text1"/>
          <w:shd w:val="clear" w:color="auto" w:fill="FFFFFF"/>
          <w:lang w:val="en-US"/>
        </w:rPr>
        <w:t xml:space="preserve"> B (2015) Human paraoxonase-1 (</w:t>
      </w:r>
      <w:r w:rsidRPr="00004507">
        <w:rPr>
          <w:rFonts w:ascii="Arial" w:hAnsi="Arial" w:cs="Arial"/>
          <w:iCs/>
          <w:color w:val="000000" w:themeColor="text1"/>
          <w:shd w:val="clear" w:color="auto" w:fill="FFFFFF"/>
          <w:lang w:val="en-US"/>
        </w:rPr>
        <w:t>PON1</w:t>
      </w:r>
      <w:r w:rsidRPr="00004507">
        <w:rPr>
          <w:rFonts w:ascii="Arial" w:hAnsi="Arial" w:cs="Arial"/>
          <w:color w:val="000000" w:themeColor="text1"/>
          <w:shd w:val="clear" w:color="auto" w:fill="FFFFFF"/>
          <w:lang w:val="en-US"/>
        </w:rPr>
        <w:t>): gene structure and expression, promiscuous activities and multiple physiological roles. </w:t>
      </w:r>
      <w:r w:rsidRPr="00004507">
        <w:rPr>
          <w:rFonts w:ascii="Arial" w:hAnsi="Arial" w:cs="Arial"/>
          <w:iCs/>
          <w:color w:val="000000" w:themeColor="text1"/>
          <w:shd w:val="clear" w:color="auto" w:fill="FFFFFF"/>
          <w:lang w:val="en-US"/>
        </w:rPr>
        <w:t>Gene</w:t>
      </w:r>
      <w:r w:rsidRPr="00004507">
        <w:rPr>
          <w:rFonts w:ascii="Arial" w:hAnsi="Arial" w:cs="Arial"/>
          <w:color w:val="000000" w:themeColor="text1"/>
          <w:shd w:val="clear" w:color="auto" w:fill="FFFFFF"/>
          <w:lang w:val="en-US"/>
        </w:rPr>
        <w:t xml:space="preserve"> 567:12-21. </w:t>
      </w:r>
    </w:p>
    <w:p w14:paraId="276FA832" w14:textId="77777777" w:rsidR="00DB7DF3" w:rsidRPr="00004507" w:rsidRDefault="00DB7DF3" w:rsidP="00DB7DF3">
      <w:pPr>
        <w:pStyle w:val="ListeParagraf"/>
        <w:shd w:val="clear" w:color="auto" w:fill="FFFFFF"/>
        <w:spacing w:before="120" w:after="0" w:line="240" w:lineRule="auto"/>
        <w:ind w:left="709"/>
        <w:jc w:val="both"/>
        <w:rPr>
          <w:rFonts w:ascii="Arial" w:eastAsia="Times New Roman" w:hAnsi="Arial" w:cs="Arial"/>
          <w:color w:val="000000" w:themeColor="text1"/>
          <w:lang w:val="en-US" w:eastAsia="tr-TR"/>
        </w:rPr>
      </w:pPr>
      <w:r w:rsidRPr="00004507">
        <w:rPr>
          <w:rFonts w:ascii="Arial" w:hAnsi="Arial" w:cs="Arial"/>
          <w:color w:val="000000" w:themeColor="text1"/>
          <w:shd w:val="clear" w:color="auto" w:fill="FFFFFF"/>
          <w:lang w:val="en-US"/>
        </w:rPr>
        <w:t>https://doi.org/10.1016/j.gene.2015.04.088</w:t>
      </w:r>
    </w:p>
    <w:p w14:paraId="01944602"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eastAsia="Times New Roman" w:hAnsi="Arial" w:cs="Arial"/>
          <w:color w:val="000000" w:themeColor="text1"/>
          <w:lang w:val="en-US" w:eastAsia="tr-TR"/>
        </w:rPr>
      </w:pPr>
      <w:proofErr w:type="spellStart"/>
      <w:r w:rsidRPr="00004507">
        <w:rPr>
          <w:rFonts w:ascii="Arial" w:eastAsia="Times New Roman" w:hAnsi="Arial" w:cs="Arial"/>
          <w:iCs/>
          <w:color w:val="000000" w:themeColor="text1"/>
          <w:lang w:val="en-US" w:eastAsia="tr-TR"/>
        </w:rPr>
        <w:t>Ritch</w:t>
      </w:r>
      <w:proofErr w:type="spellEnd"/>
      <w:r w:rsidRPr="00004507">
        <w:rPr>
          <w:rFonts w:ascii="Arial" w:eastAsia="Times New Roman" w:hAnsi="Arial" w:cs="Arial"/>
          <w:iCs/>
          <w:color w:val="000000" w:themeColor="text1"/>
          <w:lang w:val="en-US" w:eastAsia="tr-TR"/>
        </w:rPr>
        <w:t xml:space="preserve"> R, </w:t>
      </w:r>
      <w:proofErr w:type="spellStart"/>
      <w:r w:rsidRPr="00004507">
        <w:rPr>
          <w:rFonts w:ascii="Arial" w:eastAsia="Times New Roman" w:hAnsi="Arial" w:cs="Arial"/>
          <w:iCs/>
          <w:color w:val="000000" w:themeColor="text1"/>
          <w:lang w:val="en-US" w:eastAsia="tr-TR"/>
        </w:rPr>
        <w:t>Schlötzer-Schrehardt</w:t>
      </w:r>
      <w:proofErr w:type="spellEnd"/>
      <w:r w:rsidRPr="00004507">
        <w:rPr>
          <w:rFonts w:ascii="Arial" w:eastAsia="Times New Roman" w:hAnsi="Arial" w:cs="Arial"/>
          <w:iCs/>
          <w:color w:val="000000" w:themeColor="text1"/>
          <w:lang w:val="en-US" w:eastAsia="tr-TR"/>
        </w:rPr>
        <w:t xml:space="preserve"> U (2001)</w:t>
      </w:r>
      <w:r w:rsidRPr="00004507">
        <w:rPr>
          <w:rFonts w:ascii="Arial" w:eastAsia="Times New Roman" w:hAnsi="Arial" w:cs="Arial"/>
          <w:color w:val="000000" w:themeColor="text1"/>
          <w:shd w:val="clear" w:color="auto" w:fill="FFFFFF"/>
          <w:lang w:val="en-US" w:eastAsia="tr-TR"/>
        </w:rPr>
        <w:t xml:space="preserve"> Exfoliation syndrome.</w:t>
      </w:r>
      <w:r w:rsidRPr="00004507">
        <w:rPr>
          <w:rFonts w:ascii="Arial" w:eastAsia="Times New Roman" w:hAnsi="Arial" w:cs="Arial"/>
          <w:color w:val="000000" w:themeColor="text1"/>
          <w:lang w:val="en-US" w:eastAsia="tr-TR"/>
        </w:rPr>
        <w:t xml:space="preserve"> </w:t>
      </w:r>
      <w:proofErr w:type="spellStart"/>
      <w:r w:rsidRPr="00004507">
        <w:rPr>
          <w:rFonts w:ascii="Arial" w:eastAsia="Times New Roman" w:hAnsi="Arial" w:cs="Arial"/>
          <w:iCs/>
          <w:color w:val="000000" w:themeColor="text1"/>
          <w:lang w:val="en-US" w:eastAsia="tr-TR"/>
        </w:rPr>
        <w:t>Surv</w:t>
      </w:r>
      <w:proofErr w:type="spellEnd"/>
      <w:r w:rsidRPr="00004507">
        <w:rPr>
          <w:rFonts w:ascii="Arial" w:eastAsia="Times New Roman" w:hAnsi="Arial" w:cs="Arial"/>
          <w:iCs/>
          <w:color w:val="000000" w:themeColor="text1"/>
          <w:lang w:val="en-US" w:eastAsia="tr-TR"/>
        </w:rPr>
        <w:t xml:space="preserve"> </w:t>
      </w:r>
      <w:proofErr w:type="spellStart"/>
      <w:r w:rsidRPr="00004507">
        <w:rPr>
          <w:rFonts w:ascii="Arial" w:eastAsia="Times New Roman" w:hAnsi="Arial" w:cs="Arial"/>
          <w:iCs/>
          <w:color w:val="000000" w:themeColor="text1"/>
          <w:lang w:val="en-US" w:eastAsia="tr-TR"/>
        </w:rPr>
        <w:t>Ophthalmol</w:t>
      </w:r>
      <w:proofErr w:type="spellEnd"/>
      <w:r w:rsidRPr="00004507">
        <w:rPr>
          <w:rFonts w:ascii="Arial" w:eastAsia="Times New Roman" w:hAnsi="Arial" w:cs="Arial"/>
          <w:iCs/>
          <w:color w:val="000000" w:themeColor="text1"/>
          <w:lang w:val="en-US" w:eastAsia="tr-TR"/>
        </w:rPr>
        <w:t xml:space="preserve"> 45(4):265-315. </w:t>
      </w:r>
    </w:p>
    <w:p w14:paraId="304E64EA" w14:textId="4657B366" w:rsidR="00DB7DF3" w:rsidRPr="00004507" w:rsidRDefault="00DB7DF3" w:rsidP="00DB7DF3">
      <w:pPr>
        <w:pStyle w:val="ListeParagraf"/>
        <w:shd w:val="clear" w:color="auto" w:fill="FFFFFF"/>
        <w:spacing w:before="120" w:after="0" w:line="240" w:lineRule="auto"/>
        <w:ind w:left="709"/>
        <w:jc w:val="both"/>
        <w:rPr>
          <w:rFonts w:ascii="Arial" w:eastAsia="Times New Roman" w:hAnsi="Arial" w:cs="Arial"/>
          <w:lang w:val="en-US" w:eastAsia="tr-TR"/>
        </w:rPr>
      </w:pPr>
      <w:r w:rsidRPr="00004507">
        <w:rPr>
          <w:rFonts w:ascii="Arial" w:hAnsi="Arial" w:cs="Arial"/>
          <w:lang w:val="en-US"/>
        </w:rPr>
        <w:t>https://doi.org/10.1016/S0039-</w:t>
      </w:r>
      <w:proofErr w:type="gramStart"/>
      <w:r w:rsidRPr="00004507">
        <w:rPr>
          <w:rFonts w:ascii="Arial" w:hAnsi="Arial" w:cs="Arial"/>
          <w:lang w:val="en-US"/>
        </w:rPr>
        <w:t>6257(</w:t>
      </w:r>
      <w:proofErr w:type="gramEnd"/>
      <w:r w:rsidRPr="00004507">
        <w:rPr>
          <w:rFonts w:ascii="Arial" w:hAnsi="Arial" w:cs="Arial"/>
          <w:lang w:val="en-US"/>
        </w:rPr>
        <w:t>00)00196-X</w:t>
      </w:r>
    </w:p>
    <w:p w14:paraId="4A82229A"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eastAsia="Times New Roman" w:hAnsi="Arial" w:cs="Arial"/>
          <w:color w:val="000000" w:themeColor="text1"/>
          <w:lang w:val="en-US" w:eastAsia="tr-TR"/>
        </w:rPr>
      </w:pPr>
      <w:proofErr w:type="spellStart"/>
      <w:r w:rsidRPr="00004507">
        <w:rPr>
          <w:rFonts w:ascii="Arial" w:hAnsi="Arial" w:cs="Arial"/>
          <w:color w:val="000000" w:themeColor="text1"/>
          <w:lang w:val="en-US"/>
        </w:rPr>
        <w:t>Ceylan</w:t>
      </w:r>
      <w:proofErr w:type="spellEnd"/>
      <w:r w:rsidRPr="00004507">
        <w:rPr>
          <w:rFonts w:ascii="Arial" w:hAnsi="Arial" w:cs="Arial"/>
          <w:color w:val="000000" w:themeColor="text1"/>
          <w:lang w:val="en-US"/>
        </w:rPr>
        <w:t xml:space="preserve"> OM, Can </w:t>
      </w:r>
      <w:proofErr w:type="spellStart"/>
      <w:r w:rsidRPr="00004507">
        <w:rPr>
          <w:rFonts w:ascii="Arial" w:hAnsi="Arial" w:cs="Arial"/>
          <w:color w:val="000000" w:themeColor="text1"/>
          <w:lang w:val="en-US"/>
        </w:rPr>
        <w:t>Demirdöğen</w:t>
      </w:r>
      <w:proofErr w:type="spellEnd"/>
      <w:r w:rsidRPr="00004507">
        <w:rPr>
          <w:rFonts w:ascii="Arial" w:hAnsi="Arial" w:cs="Arial"/>
          <w:color w:val="000000" w:themeColor="text1"/>
          <w:lang w:val="en-US"/>
        </w:rPr>
        <w:t xml:space="preserve"> B, </w:t>
      </w:r>
      <w:proofErr w:type="spellStart"/>
      <w:r w:rsidRPr="00004507">
        <w:rPr>
          <w:rFonts w:ascii="Arial" w:hAnsi="Arial" w:cs="Arial"/>
          <w:color w:val="000000" w:themeColor="text1"/>
          <w:lang w:val="en-US"/>
        </w:rPr>
        <w:t>Mumcuoğlu</w:t>
      </w:r>
      <w:proofErr w:type="spellEnd"/>
      <w:r w:rsidRPr="00004507">
        <w:rPr>
          <w:rFonts w:ascii="Arial" w:hAnsi="Arial" w:cs="Arial"/>
          <w:color w:val="000000" w:themeColor="text1"/>
          <w:lang w:val="en-US"/>
        </w:rPr>
        <w:t xml:space="preserve"> T, </w:t>
      </w:r>
      <w:proofErr w:type="spellStart"/>
      <w:r w:rsidRPr="00004507">
        <w:rPr>
          <w:rFonts w:ascii="Arial" w:hAnsi="Arial" w:cs="Arial"/>
          <w:color w:val="000000" w:themeColor="text1"/>
          <w:lang w:val="en-US"/>
        </w:rPr>
        <w:t>Aykut</w:t>
      </w:r>
      <w:proofErr w:type="spellEnd"/>
      <w:r w:rsidRPr="00004507">
        <w:rPr>
          <w:rFonts w:ascii="Arial" w:hAnsi="Arial" w:cs="Arial"/>
          <w:color w:val="000000" w:themeColor="text1"/>
          <w:lang w:val="en-US"/>
        </w:rPr>
        <w:t xml:space="preserve"> O (2013) Evaluation of essential and toxic trace elements in pseudoexfoliation syndrome and pseudoexfoliation glaucoma. </w:t>
      </w:r>
      <w:proofErr w:type="spellStart"/>
      <w:r w:rsidRPr="00004507">
        <w:rPr>
          <w:rFonts w:ascii="Arial" w:hAnsi="Arial" w:cs="Arial"/>
          <w:color w:val="000000" w:themeColor="text1"/>
          <w:lang w:val="en-US"/>
        </w:rPr>
        <w:t>Biol</w:t>
      </w:r>
      <w:proofErr w:type="spellEnd"/>
      <w:r w:rsidRPr="00004507">
        <w:rPr>
          <w:rFonts w:ascii="Arial" w:hAnsi="Arial" w:cs="Arial"/>
          <w:color w:val="000000" w:themeColor="text1"/>
          <w:lang w:val="en-US"/>
        </w:rPr>
        <w:t xml:space="preserve"> Trace Elem Res 153(1-3):28-34. </w:t>
      </w:r>
    </w:p>
    <w:p w14:paraId="7D7638C2" w14:textId="77777777" w:rsidR="00DB7DF3" w:rsidRPr="00004507" w:rsidRDefault="00DB7DF3" w:rsidP="00DB7DF3">
      <w:pPr>
        <w:pStyle w:val="ListeParagraf"/>
        <w:shd w:val="clear" w:color="auto" w:fill="FFFFFF"/>
        <w:spacing w:before="120" w:after="0" w:line="240" w:lineRule="auto"/>
        <w:ind w:left="709"/>
        <w:jc w:val="both"/>
        <w:rPr>
          <w:rFonts w:ascii="Arial" w:eastAsia="Times New Roman" w:hAnsi="Arial" w:cs="Arial"/>
          <w:color w:val="000000" w:themeColor="text1"/>
          <w:lang w:val="en-US" w:eastAsia="tr-TR"/>
        </w:rPr>
      </w:pPr>
      <w:r w:rsidRPr="00004507">
        <w:rPr>
          <w:rFonts w:ascii="Arial" w:hAnsi="Arial" w:cs="Arial"/>
          <w:color w:val="000000" w:themeColor="text1"/>
          <w:lang w:val="en-US"/>
        </w:rPr>
        <w:t>https://doi.org/</w:t>
      </w:r>
      <w:bookmarkStart w:id="1" w:name="bcol005"/>
      <w:r w:rsidRPr="00004507">
        <w:rPr>
          <w:rFonts w:ascii="Arial" w:hAnsi="Arial" w:cs="Arial"/>
          <w:color w:val="000000" w:themeColor="text1"/>
          <w:shd w:val="clear" w:color="auto" w:fill="FFFFFF"/>
          <w:lang w:val="en-US"/>
        </w:rPr>
        <w:t>10.1007/s12011-013-9644-5</w:t>
      </w:r>
    </w:p>
    <w:p w14:paraId="3B6C65A9"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r w:rsidRPr="00004507">
        <w:rPr>
          <w:rStyle w:val="text"/>
          <w:rFonts w:ascii="Arial" w:hAnsi="Arial" w:cs="Arial"/>
          <w:color w:val="000000" w:themeColor="text1"/>
          <w:lang w:val="en-US"/>
        </w:rPr>
        <w:t>The Advanced Glaucoma Intervention Study Investigators</w:t>
      </w:r>
      <w:bookmarkEnd w:id="1"/>
      <w:r w:rsidRPr="00004507">
        <w:rPr>
          <w:rFonts w:ascii="Arial" w:hAnsi="Arial" w:cs="Arial"/>
          <w:color w:val="000000" w:themeColor="text1"/>
          <w:lang w:val="en-US"/>
        </w:rPr>
        <w:t xml:space="preserve"> (1994) Advanced Glaucoma Intervention Study. 2. Visual field test scoring and reliability. Ophthalmology 101:1445-1455. </w:t>
      </w:r>
    </w:p>
    <w:p w14:paraId="4884CF8C" w14:textId="28F7620C" w:rsidR="00DB7DF3" w:rsidRPr="00004507" w:rsidRDefault="00DB7DF3" w:rsidP="00DB7DF3">
      <w:pPr>
        <w:pStyle w:val="ListeParagraf"/>
        <w:shd w:val="clear" w:color="auto" w:fill="FFFFFF"/>
        <w:spacing w:before="120" w:after="0" w:line="240" w:lineRule="auto"/>
        <w:ind w:left="709"/>
        <w:jc w:val="both"/>
        <w:rPr>
          <w:rFonts w:ascii="Arial" w:hAnsi="Arial" w:cs="Arial"/>
          <w:lang w:val="en-US"/>
        </w:rPr>
      </w:pPr>
      <w:r w:rsidRPr="00004507">
        <w:rPr>
          <w:rFonts w:ascii="Arial" w:hAnsi="Arial" w:cs="Arial"/>
          <w:lang w:val="en-US"/>
        </w:rPr>
        <w:t>https://doi.org/10.1016/S0161-</w:t>
      </w:r>
      <w:proofErr w:type="gramStart"/>
      <w:r w:rsidRPr="00004507">
        <w:rPr>
          <w:rFonts w:ascii="Arial" w:hAnsi="Arial" w:cs="Arial"/>
          <w:lang w:val="en-US"/>
        </w:rPr>
        <w:t>6420(</w:t>
      </w:r>
      <w:proofErr w:type="gramEnd"/>
      <w:r w:rsidRPr="00004507">
        <w:rPr>
          <w:rFonts w:ascii="Arial" w:hAnsi="Arial" w:cs="Arial"/>
          <w:lang w:val="en-US"/>
        </w:rPr>
        <w:t>94)31171-7</w:t>
      </w:r>
    </w:p>
    <w:p w14:paraId="2A1B0ED1"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eastAsia="tr-TR"/>
        </w:rPr>
      </w:pPr>
      <w:proofErr w:type="spellStart"/>
      <w:r w:rsidRPr="00004507">
        <w:rPr>
          <w:rFonts w:ascii="Arial" w:hAnsi="Arial" w:cs="Arial"/>
          <w:color w:val="000000" w:themeColor="text1"/>
          <w:lang w:val="en-US"/>
        </w:rPr>
        <w:t>Lahiri</w:t>
      </w:r>
      <w:proofErr w:type="spellEnd"/>
      <w:r w:rsidRPr="00004507">
        <w:rPr>
          <w:rFonts w:ascii="Arial" w:hAnsi="Arial" w:cs="Arial"/>
          <w:color w:val="000000" w:themeColor="text1"/>
          <w:lang w:val="en-US"/>
        </w:rPr>
        <w:t xml:space="preserve"> DK, Schnabel B (1993) DNA isolation by a rapid method from human blood samples: effects of MgCl</w:t>
      </w:r>
      <w:r w:rsidRPr="00004507">
        <w:rPr>
          <w:rFonts w:ascii="Arial" w:hAnsi="Arial" w:cs="Arial"/>
          <w:color w:val="000000" w:themeColor="text1"/>
          <w:vertAlign w:val="subscript"/>
          <w:lang w:val="en-US"/>
        </w:rPr>
        <w:t>2</w:t>
      </w:r>
      <w:r w:rsidRPr="00004507">
        <w:rPr>
          <w:rFonts w:ascii="Arial" w:hAnsi="Arial" w:cs="Arial"/>
          <w:color w:val="000000" w:themeColor="text1"/>
          <w:lang w:val="en-US"/>
        </w:rPr>
        <w:t xml:space="preserve">, EDTA, storage time, and temperature on DNA yield and quality. </w:t>
      </w:r>
      <w:proofErr w:type="spellStart"/>
      <w:r w:rsidRPr="00004507">
        <w:rPr>
          <w:rFonts w:ascii="Arial" w:hAnsi="Arial" w:cs="Arial"/>
          <w:color w:val="000000" w:themeColor="text1"/>
          <w:lang w:val="en-US"/>
        </w:rPr>
        <w:t>Biochem</w:t>
      </w:r>
      <w:proofErr w:type="spellEnd"/>
      <w:r w:rsidRPr="00004507">
        <w:rPr>
          <w:rFonts w:ascii="Arial" w:hAnsi="Arial" w:cs="Arial"/>
          <w:color w:val="000000" w:themeColor="text1"/>
          <w:lang w:val="en-US"/>
        </w:rPr>
        <w:t xml:space="preserve"> Genet 31(7-8):321-328. </w:t>
      </w:r>
    </w:p>
    <w:p w14:paraId="6B144369" w14:textId="02C40E34" w:rsidR="00DB7DF3" w:rsidRPr="00004507" w:rsidRDefault="00DB7DF3" w:rsidP="00DB7DF3">
      <w:pPr>
        <w:pStyle w:val="ListeParagraf"/>
        <w:shd w:val="clear" w:color="auto" w:fill="FFFFFF"/>
        <w:spacing w:before="120" w:after="0" w:line="240" w:lineRule="auto"/>
        <w:ind w:left="709"/>
        <w:jc w:val="both"/>
        <w:rPr>
          <w:rFonts w:ascii="Arial" w:hAnsi="Arial" w:cs="Arial"/>
          <w:lang w:val="en-US" w:eastAsia="tr-TR"/>
        </w:rPr>
      </w:pPr>
      <w:r w:rsidRPr="00004507">
        <w:rPr>
          <w:rFonts w:ascii="Arial" w:hAnsi="Arial" w:cs="Arial"/>
          <w:spacing w:val="4"/>
          <w:shd w:val="clear" w:color="auto" w:fill="FCFCFC"/>
          <w:lang w:val="en-US"/>
        </w:rPr>
        <w:t>https://doi.org/10.1007/BF02401826</w:t>
      </w:r>
    </w:p>
    <w:p w14:paraId="036B0B09"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eastAsia="tr-TR"/>
        </w:rPr>
      </w:pPr>
      <w:r w:rsidRPr="00004507">
        <w:rPr>
          <w:rFonts w:ascii="Arial" w:hAnsi="Arial" w:cs="Arial"/>
          <w:color w:val="000000" w:themeColor="text1"/>
          <w:lang w:val="en-US"/>
        </w:rPr>
        <w:t xml:space="preserve">Can </w:t>
      </w:r>
      <w:proofErr w:type="spellStart"/>
      <w:r w:rsidRPr="00004507">
        <w:rPr>
          <w:rFonts w:ascii="Arial" w:hAnsi="Arial" w:cs="Arial"/>
          <w:color w:val="000000" w:themeColor="text1"/>
          <w:lang w:val="en-US"/>
        </w:rPr>
        <w:t>Demirdöğen</w:t>
      </w:r>
      <w:proofErr w:type="spellEnd"/>
      <w:r w:rsidRPr="00004507">
        <w:rPr>
          <w:rFonts w:ascii="Arial" w:hAnsi="Arial" w:cs="Arial"/>
          <w:color w:val="000000" w:themeColor="text1"/>
          <w:lang w:val="en-US"/>
        </w:rPr>
        <w:t xml:space="preserve"> B, </w:t>
      </w:r>
      <w:proofErr w:type="spellStart"/>
      <w:r w:rsidRPr="00004507">
        <w:rPr>
          <w:rFonts w:ascii="Arial" w:hAnsi="Arial" w:cs="Arial"/>
          <w:color w:val="000000" w:themeColor="text1"/>
          <w:lang w:val="en-US"/>
        </w:rPr>
        <w:t>Türkanoğlu</w:t>
      </w:r>
      <w:proofErr w:type="spellEnd"/>
      <w:r w:rsidRPr="00004507">
        <w:rPr>
          <w:rFonts w:ascii="Arial" w:hAnsi="Arial" w:cs="Arial"/>
          <w:color w:val="000000" w:themeColor="text1"/>
          <w:lang w:val="en-US"/>
        </w:rPr>
        <w:t xml:space="preserve"> A, </w:t>
      </w:r>
      <w:proofErr w:type="spellStart"/>
      <w:r w:rsidRPr="00004507">
        <w:rPr>
          <w:rFonts w:ascii="Arial" w:hAnsi="Arial" w:cs="Arial"/>
          <w:color w:val="000000" w:themeColor="text1"/>
          <w:lang w:val="en-US"/>
        </w:rPr>
        <w:t>Bek</w:t>
      </w:r>
      <w:proofErr w:type="spellEnd"/>
      <w:r w:rsidRPr="00004507">
        <w:rPr>
          <w:rFonts w:ascii="Arial" w:hAnsi="Arial" w:cs="Arial"/>
          <w:color w:val="000000" w:themeColor="text1"/>
          <w:lang w:val="en-US"/>
        </w:rPr>
        <w:t xml:space="preserve"> S, </w:t>
      </w:r>
      <w:proofErr w:type="spellStart"/>
      <w:r w:rsidRPr="00004507">
        <w:rPr>
          <w:rFonts w:ascii="Arial" w:hAnsi="Arial" w:cs="Arial"/>
          <w:color w:val="000000" w:themeColor="text1"/>
          <w:lang w:val="en-US"/>
        </w:rPr>
        <w:t>Sanisoğlu</w:t>
      </w:r>
      <w:proofErr w:type="spellEnd"/>
      <w:r w:rsidRPr="00004507">
        <w:rPr>
          <w:rFonts w:ascii="Arial" w:hAnsi="Arial" w:cs="Arial"/>
          <w:color w:val="000000" w:themeColor="text1"/>
          <w:lang w:val="en-US"/>
        </w:rPr>
        <w:t xml:space="preserve"> Y, </w:t>
      </w:r>
      <w:proofErr w:type="spellStart"/>
      <w:r w:rsidRPr="00004507">
        <w:rPr>
          <w:rFonts w:ascii="Arial" w:hAnsi="Arial" w:cs="Arial"/>
          <w:color w:val="000000" w:themeColor="text1"/>
          <w:lang w:val="en-US"/>
        </w:rPr>
        <w:t>Demirkaya</w:t>
      </w:r>
      <w:proofErr w:type="spellEnd"/>
      <w:r w:rsidRPr="00004507">
        <w:rPr>
          <w:rFonts w:ascii="Arial" w:hAnsi="Arial" w:cs="Arial"/>
          <w:color w:val="000000" w:themeColor="text1"/>
          <w:lang w:val="en-US"/>
        </w:rPr>
        <w:t xml:space="preserve"> Ş, </w:t>
      </w:r>
      <w:proofErr w:type="spellStart"/>
      <w:r w:rsidRPr="00004507">
        <w:rPr>
          <w:rFonts w:ascii="Arial" w:hAnsi="Arial" w:cs="Arial"/>
          <w:color w:val="000000" w:themeColor="text1"/>
          <w:lang w:val="en-US"/>
        </w:rPr>
        <w:t>Vural</w:t>
      </w:r>
      <w:proofErr w:type="spellEnd"/>
      <w:r w:rsidRPr="00004507">
        <w:rPr>
          <w:rFonts w:ascii="Arial" w:hAnsi="Arial" w:cs="Arial"/>
          <w:color w:val="000000" w:themeColor="text1"/>
          <w:lang w:val="en-US"/>
        </w:rPr>
        <w:t xml:space="preserve"> O, </w:t>
      </w:r>
      <w:proofErr w:type="spellStart"/>
      <w:r w:rsidRPr="00004507">
        <w:rPr>
          <w:rFonts w:ascii="Arial" w:hAnsi="Arial" w:cs="Arial"/>
          <w:color w:val="000000" w:themeColor="text1"/>
          <w:lang w:val="en-US"/>
        </w:rPr>
        <w:t>Arınç</w:t>
      </w:r>
      <w:proofErr w:type="spellEnd"/>
      <w:r w:rsidRPr="00004507">
        <w:rPr>
          <w:rFonts w:ascii="Arial" w:hAnsi="Arial" w:cs="Arial"/>
          <w:color w:val="000000" w:themeColor="text1"/>
          <w:lang w:val="en-US"/>
        </w:rPr>
        <w:t xml:space="preserve"> E, </w:t>
      </w:r>
      <w:proofErr w:type="spellStart"/>
      <w:r w:rsidRPr="00004507">
        <w:rPr>
          <w:rFonts w:ascii="Arial" w:hAnsi="Arial" w:cs="Arial"/>
          <w:color w:val="000000" w:themeColor="text1"/>
          <w:lang w:val="en-US"/>
        </w:rPr>
        <w:t>Adalı</w:t>
      </w:r>
      <w:proofErr w:type="spellEnd"/>
      <w:r w:rsidRPr="00004507">
        <w:rPr>
          <w:rFonts w:ascii="Arial" w:hAnsi="Arial" w:cs="Arial"/>
          <w:color w:val="000000" w:themeColor="text1"/>
          <w:lang w:val="en-US"/>
        </w:rPr>
        <w:t xml:space="preserve"> O (2008) Paraoxonase/</w:t>
      </w:r>
      <w:proofErr w:type="spellStart"/>
      <w:r w:rsidRPr="00004507">
        <w:rPr>
          <w:rFonts w:ascii="Arial" w:hAnsi="Arial" w:cs="Arial"/>
          <w:color w:val="000000" w:themeColor="text1"/>
          <w:lang w:val="en-US"/>
        </w:rPr>
        <w:t>arylesterase</w:t>
      </w:r>
      <w:proofErr w:type="spellEnd"/>
      <w:r w:rsidRPr="00004507">
        <w:rPr>
          <w:rFonts w:ascii="Arial" w:hAnsi="Arial" w:cs="Arial"/>
          <w:color w:val="000000" w:themeColor="text1"/>
          <w:lang w:val="en-US"/>
        </w:rPr>
        <w:t xml:space="preserve"> ratio, PON1 192Q/R polymorphism and PON1 status are associated with increased risk of ischemic stroke.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Biochem</w:t>
      </w:r>
      <w:proofErr w:type="spellEnd"/>
      <w:r w:rsidRPr="00004507">
        <w:rPr>
          <w:rFonts w:ascii="Arial" w:hAnsi="Arial" w:cs="Arial"/>
          <w:color w:val="000000" w:themeColor="text1"/>
          <w:lang w:val="en-US"/>
        </w:rPr>
        <w:t xml:space="preserve"> 41(1-2):1-9. </w:t>
      </w:r>
    </w:p>
    <w:p w14:paraId="3C92FD5C"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eastAsia="tr-TR"/>
        </w:rPr>
      </w:pPr>
      <w:r w:rsidRPr="00004507">
        <w:rPr>
          <w:rFonts w:ascii="Arial" w:hAnsi="Arial" w:cs="Arial"/>
          <w:color w:val="000000" w:themeColor="text1"/>
          <w:lang w:val="en-US"/>
        </w:rPr>
        <w:t>https://doi.org/</w:t>
      </w:r>
      <w:r w:rsidRPr="00004507">
        <w:rPr>
          <w:rFonts w:ascii="Arial" w:hAnsi="Arial" w:cs="Arial"/>
          <w:color w:val="000000" w:themeColor="text1"/>
          <w:lang w:val="en-US" w:eastAsia="tr-TR"/>
        </w:rPr>
        <w:t>10.1016/j.clinbiochem.2007.08.010</w:t>
      </w:r>
    </w:p>
    <w:p w14:paraId="6E0E88E3"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Style w:val="src1"/>
          <w:rFonts w:ascii="Arial" w:hAnsi="Arial" w:cs="Arial"/>
          <w:color w:val="000000" w:themeColor="text1"/>
          <w:shd w:val="clear" w:color="auto" w:fill="FFFFFF"/>
          <w:lang w:val="en-US"/>
        </w:rPr>
      </w:pPr>
      <w:r w:rsidRPr="00004507">
        <w:rPr>
          <w:rFonts w:ascii="Arial" w:hAnsi="Arial" w:cs="Arial"/>
          <w:color w:val="000000" w:themeColor="text1"/>
          <w:lang w:val="en-US"/>
        </w:rPr>
        <w:t xml:space="preserve">Can </w:t>
      </w:r>
      <w:proofErr w:type="spellStart"/>
      <w:r w:rsidRPr="00004507">
        <w:rPr>
          <w:rFonts w:ascii="Arial" w:hAnsi="Arial" w:cs="Arial"/>
          <w:color w:val="000000" w:themeColor="text1"/>
          <w:lang w:val="en-US"/>
        </w:rPr>
        <w:t>Demirdöğen</w:t>
      </w:r>
      <w:proofErr w:type="spellEnd"/>
      <w:r w:rsidRPr="00004507">
        <w:rPr>
          <w:rFonts w:ascii="Arial" w:hAnsi="Arial" w:cs="Arial"/>
          <w:color w:val="000000" w:themeColor="text1"/>
          <w:lang w:val="en-US"/>
        </w:rPr>
        <w:t xml:space="preserve"> B, </w:t>
      </w:r>
      <w:proofErr w:type="spellStart"/>
      <w:r w:rsidRPr="00004507">
        <w:rPr>
          <w:rFonts w:ascii="Arial" w:hAnsi="Arial" w:cs="Arial"/>
          <w:color w:val="000000" w:themeColor="text1"/>
          <w:lang w:val="en-US"/>
        </w:rPr>
        <w:t>Demirkaya</w:t>
      </w:r>
      <w:proofErr w:type="spellEnd"/>
      <w:r w:rsidRPr="00004507">
        <w:rPr>
          <w:rFonts w:ascii="Arial" w:hAnsi="Arial" w:cs="Arial"/>
          <w:color w:val="000000" w:themeColor="text1"/>
          <w:lang w:val="en-US"/>
        </w:rPr>
        <w:t xml:space="preserve"> Ş, </w:t>
      </w:r>
      <w:proofErr w:type="spellStart"/>
      <w:r w:rsidRPr="00004507">
        <w:rPr>
          <w:rFonts w:ascii="Arial" w:hAnsi="Arial" w:cs="Arial"/>
          <w:color w:val="000000" w:themeColor="text1"/>
          <w:lang w:val="en-US"/>
        </w:rPr>
        <w:t>Türkanoğlu</w:t>
      </w:r>
      <w:proofErr w:type="spellEnd"/>
      <w:r w:rsidRPr="00004507">
        <w:rPr>
          <w:rFonts w:ascii="Arial" w:hAnsi="Arial" w:cs="Arial"/>
          <w:color w:val="000000" w:themeColor="text1"/>
          <w:lang w:val="en-US"/>
        </w:rPr>
        <w:t xml:space="preserve"> A, </w:t>
      </w:r>
      <w:proofErr w:type="spellStart"/>
      <w:r w:rsidRPr="00004507">
        <w:rPr>
          <w:rFonts w:ascii="Arial" w:hAnsi="Arial" w:cs="Arial"/>
          <w:color w:val="000000" w:themeColor="text1"/>
          <w:lang w:val="en-US"/>
        </w:rPr>
        <w:t>Bek</w:t>
      </w:r>
      <w:proofErr w:type="spellEnd"/>
      <w:r w:rsidRPr="00004507">
        <w:rPr>
          <w:rFonts w:ascii="Arial" w:hAnsi="Arial" w:cs="Arial"/>
          <w:color w:val="000000" w:themeColor="text1"/>
          <w:lang w:val="en-US"/>
        </w:rPr>
        <w:t xml:space="preserve"> S, </w:t>
      </w:r>
      <w:proofErr w:type="spellStart"/>
      <w:r w:rsidRPr="00004507">
        <w:rPr>
          <w:rFonts w:ascii="Arial" w:hAnsi="Arial" w:cs="Arial"/>
          <w:color w:val="000000" w:themeColor="text1"/>
          <w:lang w:val="en-US"/>
        </w:rPr>
        <w:t>Arınç</w:t>
      </w:r>
      <w:proofErr w:type="spellEnd"/>
      <w:r w:rsidRPr="00004507">
        <w:rPr>
          <w:rFonts w:ascii="Arial" w:hAnsi="Arial" w:cs="Arial"/>
          <w:color w:val="000000" w:themeColor="text1"/>
          <w:lang w:val="en-US"/>
        </w:rPr>
        <w:t xml:space="preserve"> E, </w:t>
      </w:r>
      <w:proofErr w:type="spellStart"/>
      <w:r w:rsidRPr="00004507">
        <w:rPr>
          <w:rFonts w:ascii="Arial" w:hAnsi="Arial" w:cs="Arial"/>
          <w:color w:val="000000" w:themeColor="text1"/>
          <w:lang w:val="en-US"/>
        </w:rPr>
        <w:t>Adalı</w:t>
      </w:r>
      <w:proofErr w:type="spellEnd"/>
      <w:r w:rsidRPr="00004507">
        <w:rPr>
          <w:rFonts w:ascii="Arial" w:hAnsi="Arial" w:cs="Arial"/>
          <w:color w:val="000000" w:themeColor="text1"/>
          <w:lang w:val="en-US"/>
        </w:rPr>
        <w:t xml:space="preserve"> O (</w:t>
      </w:r>
      <w:r w:rsidRPr="00004507">
        <w:rPr>
          <w:rStyle w:val="src1"/>
          <w:rFonts w:ascii="Arial" w:hAnsi="Arial" w:cs="Arial"/>
          <w:color w:val="000000" w:themeColor="text1"/>
          <w:lang w:val="en-US"/>
          <w:specVanish w:val="0"/>
        </w:rPr>
        <w:t xml:space="preserve">2009) </w:t>
      </w:r>
      <w:r w:rsidRPr="00004507">
        <w:rPr>
          <w:rFonts w:ascii="Arial" w:hAnsi="Arial" w:cs="Arial"/>
          <w:color w:val="000000" w:themeColor="text1"/>
          <w:lang w:val="en-US"/>
        </w:rPr>
        <w:t xml:space="preserve">Analysis of paraoxonase 1 (PON1) genetic polymorphisms and activities as risk factors for ischemic stroke in Turkish population. Cell </w:t>
      </w:r>
      <w:proofErr w:type="spellStart"/>
      <w:r w:rsidRPr="00004507">
        <w:rPr>
          <w:rFonts w:ascii="Arial" w:hAnsi="Arial" w:cs="Arial"/>
          <w:color w:val="000000" w:themeColor="text1"/>
          <w:lang w:val="en-US"/>
        </w:rPr>
        <w:t>Biochem</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Funct</w:t>
      </w:r>
      <w:proofErr w:type="spellEnd"/>
      <w:r w:rsidRPr="00004507">
        <w:rPr>
          <w:rFonts w:ascii="Arial" w:hAnsi="Arial" w:cs="Arial"/>
          <w:color w:val="000000" w:themeColor="text1"/>
          <w:lang w:val="en-US"/>
        </w:rPr>
        <w:t xml:space="preserve"> </w:t>
      </w:r>
      <w:r w:rsidRPr="00004507">
        <w:rPr>
          <w:rStyle w:val="src1"/>
          <w:rFonts w:ascii="Arial" w:hAnsi="Arial" w:cs="Arial"/>
          <w:color w:val="000000" w:themeColor="text1"/>
          <w:lang w:val="en-US"/>
          <w:specVanish w:val="0"/>
        </w:rPr>
        <w:t xml:space="preserve">27(8):558-567. </w:t>
      </w:r>
    </w:p>
    <w:p w14:paraId="3EA65DD5"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Style w:val="src1"/>
          <w:rFonts w:ascii="Arial" w:hAnsi="Arial" w:cs="Arial"/>
          <w:color w:val="000000" w:themeColor="text1"/>
          <w:lang w:val="en-US"/>
          <w:specVanish w:val="0"/>
        </w:rPr>
        <w:t>https://doi.org/</w:t>
      </w:r>
      <w:r w:rsidRPr="00004507">
        <w:rPr>
          <w:rFonts w:ascii="Arial" w:hAnsi="Arial" w:cs="Arial"/>
          <w:color w:val="000000" w:themeColor="text1"/>
          <w:shd w:val="clear" w:color="auto" w:fill="FFFFFF"/>
          <w:lang w:val="en-US"/>
        </w:rPr>
        <w:t>10.1002/cbf.1607</w:t>
      </w:r>
    </w:p>
    <w:p w14:paraId="0F6A877A"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 xml:space="preserve">Campo S, </w:t>
      </w:r>
      <w:proofErr w:type="spellStart"/>
      <w:r w:rsidRPr="00004507">
        <w:rPr>
          <w:rFonts w:ascii="Arial" w:hAnsi="Arial" w:cs="Arial"/>
          <w:color w:val="000000" w:themeColor="text1"/>
          <w:lang w:val="en-US"/>
        </w:rPr>
        <w:t>Sardo</w:t>
      </w:r>
      <w:proofErr w:type="spellEnd"/>
      <w:r w:rsidRPr="00004507">
        <w:rPr>
          <w:rFonts w:ascii="Arial" w:hAnsi="Arial" w:cs="Arial"/>
          <w:color w:val="000000" w:themeColor="text1"/>
          <w:lang w:val="en-US"/>
        </w:rPr>
        <w:t xml:space="preserve"> MA, </w:t>
      </w:r>
      <w:proofErr w:type="spellStart"/>
      <w:r w:rsidRPr="00004507">
        <w:rPr>
          <w:rFonts w:ascii="Arial" w:hAnsi="Arial" w:cs="Arial"/>
          <w:color w:val="000000" w:themeColor="text1"/>
          <w:lang w:val="en-US"/>
        </w:rPr>
        <w:t>Trimarchi</w:t>
      </w:r>
      <w:proofErr w:type="spellEnd"/>
      <w:r w:rsidRPr="00004507">
        <w:rPr>
          <w:rFonts w:ascii="Arial" w:hAnsi="Arial" w:cs="Arial"/>
          <w:color w:val="000000" w:themeColor="text1"/>
          <w:lang w:val="en-US"/>
        </w:rPr>
        <w:t xml:space="preserve"> G, </w:t>
      </w:r>
      <w:proofErr w:type="spellStart"/>
      <w:r w:rsidRPr="00004507">
        <w:rPr>
          <w:rFonts w:ascii="Arial" w:hAnsi="Arial" w:cs="Arial"/>
          <w:color w:val="000000" w:themeColor="text1"/>
          <w:shd w:val="clear" w:color="auto" w:fill="FFFFFF"/>
          <w:lang w:val="en-US"/>
        </w:rPr>
        <w:t>Bonaiuto</w:t>
      </w:r>
      <w:proofErr w:type="spellEnd"/>
      <w:r w:rsidRPr="00004507">
        <w:rPr>
          <w:rFonts w:ascii="Arial" w:hAnsi="Arial" w:cs="Arial"/>
          <w:color w:val="000000" w:themeColor="text1"/>
          <w:shd w:val="clear" w:color="auto" w:fill="FFFFFF"/>
          <w:lang w:val="en-US"/>
        </w:rPr>
        <w:t xml:space="preserve"> M, Fontana L, </w:t>
      </w:r>
      <w:proofErr w:type="spellStart"/>
      <w:r w:rsidRPr="00004507">
        <w:rPr>
          <w:rFonts w:ascii="Arial" w:hAnsi="Arial" w:cs="Arial"/>
          <w:color w:val="000000" w:themeColor="text1"/>
          <w:shd w:val="clear" w:color="auto" w:fill="FFFFFF"/>
          <w:lang w:val="en-US"/>
        </w:rPr>
        <w:t>Castaldo</w:t>
      </w:r>
      <w:proofErr w:type="spellEnd"/>
      <w:r w:rsidRPr="00004507">
        <w:rPr>
          <w:rFonts w:ascii="Arial" w:hAnsi="Arial" w:cs="Arial"/>
          <w:color w:val="000000" w:themeColor="text1"/>
          <w:shd w:val="clear" w:color="auto" w:fill="FFFFFF"/>
          <w:lang w:val="en-US"/>
        </w:rPr>
        <w:t xml:space="preserve"> M, </w:t>
      </w:r>
      <w:proofErr w:type="spellStart"/>
      <w:r w:rsidRPr="00004507">
        <w:rPr>
          <w:rFonts w:ascii="Arial" w:hAnsi="Arial" w:cs="Arial"/>
          <w:color w:val="000000" w:themeColor="text1"/>
          <w:shd w:val="clear" w:color="auto" w:fill="FFFFFF"/>
          <w:lang w:val="en-US"/>
        </w:rPr>
        <w:t>Bonaiuto</w:t>
      </w:r>
      <w:proofErr w:type="spellEnd"/>
      <w:r w:rsidRPr="00004507">
        <w:rPr>
          <w:rFonts w:ascii="Arial" w:hAnsi="Arial" w:cs="Arial"/>
          <w:color w:val="000000" w:themeColor="text1"/>
          <w:shd w:val="clear" w:color="auto" w:fill="FFFFFF"/>
          <w:lang w:val="en-US"/>
        </w:rPr>
        <w:t xml:space="preserve"> A, </w:t>
      </w:r>
      <w:proofErr w:type="spellStart"/>
      <w:r w:rsidRPr="00004507">
        <w:rPr>
          <w:rFonts w:ascii="Arial" w:hAnsi="Arial" w:cs="Arial"/>
          <w:color w:val="000000" w:themeColor="text1"/>
          <w:shd w:val="clear" w:color="auto" w:fill="FFFFFF"/>
          <w:lang w:val="en-US"/>
        </w:rPr>
        <w:t>Saitta</w:t>
      </w:r>
      <w:proofErr w:type="spellEnd"/>
      <w:r w:rsidRPr="00004507">
        <w:rPr>
          <w:rFonts w:ascii="Arial" w:hAnsi="Arial" w:cs="Arial"/>
          <w:color w:val="000000" w:themeColor="text1"/>
          <w:shd w:val="clear" w:color="auto" w:fill="FFFFFF"/>
          <w:lang w:val="en-US"/>
        </w:rPr>
        <w:t> </w:t>
      </w:r>
      <w:r w:rsidRPr="00004507">
        <w:rPr>
          <w:rStyle w:val="highlight"/>
          <w:rFonts w:ascii="Arial" w:hAnsi="Arial" w:cs="Arial"/>
          <w:color w:val="000000" w:themeColor="text1"/>
          <w:shd w:val="clear" w:color="auto" w:fill="FFFFFF"/>
          <w:lang w:val="en-US"/>
        </w:rPr>
        <w:t>C,</w:t>
      </w:r>
      <w:r w:rsidRPr="00004507">
        <w:rPr>
          <w:rFonts w:ascii="Arial" w:hAnsi="Arial" w:cs="Arial"/>
          <w:color w:val="000000" w:themeColor="text1"/>
          <w:shd w:val="clear" w:color="auto" w:fill="FFFFFF"/>
          <w:lang w:val="en-US"/>
        </w:rPr>
        <w:t> </w:t>
      </w:r>
      <w:proofErr w:type="spellStart"/>
      <w:r w:rsidRPr="00004507">
        <w:rPr>
          <w:rFonts w:ascii="Arial" w:hAnsi="Arial" w:cs="Arial"/>
          <w:color w:val="000000" w:themeColor="text1"/>
          <w:shd w:val="clear" w:color="auto" w:fill="FFFFFF"/>
          <w:lang w:val="en-US"/>
        </w:rPr>
        <w:t>Bitto</w:t>
      </w:r>
      <w:proofErr w:type="spellEnd"/>
      <w:r w:rsidRPr="00004507">
        <w:rPr>
          <w:rFonts w:ascii="Arial" w:hAnsi="Arial" w:cs="Arial"/>
          <w:color w:val="000000" w:themeColor="text1"/>
          <w:shd w:val="clear" w:color="auto" w:fill="FFFFFF"/>
          <w:lang w:val="en-US"/>
        </w:rPr>
        <w:t xml:space="preserve"> A, </w:t>
      </w:r>
      <w:proofErr w:type="spellStart"/>
      <w:r w:rsidRPr="00004507">
        <w:rPr>
          <w:rFonts w:ascii="Arial" w:hAnsi="Arial" w:cs="Arial"/>
          <w:color w:val="000000" w:themeColor="text1"/>
          <w:shd w:val="clear" w:color="auto" w:fill="FFFFFF"/>
          <w:lang w:val="en-US"/>
        </w:rPr>
        <w:t>Manduca</w:t>
      </w:r>
      <w:proofErr w:type="spellEnd"/>
      <w:r w:rsidRPr="00004507">
        <w:rPr>
          <w:rFonts w:ascii="Arial" w:hAnsi="Arial" w:cs="Arial"/>
          <w:color w:val="000000" w:themeColor="text1"/>
          <w:shd w:val="clear" w:color="auto" w:fill="FFFFFF"/>
          <w:lang w:val="en-US"/>
        </w:rPr>
        <w:t xml:space="preserve"> B, </w:t>
      </w:r>
      <w:proofErr w:type="spellStart"/>
      <w:r w:rsidRPr="00004507">
        <w:rPr>
          <w:rFonts w:ascii="Arial" w:hAnsi="Arial" w:cs="Arial"/>
          <w:color w:val="000000" w:themeColor="text1"/>
          <w:shd w:val="clear" w:color="auto" w:fill="FFFFFF"/>
          <w:lang w:val="en-US"/>
        </w:rPr>
        <w:t>Riggio</w:t>
      </w:r>
      <w:proofErr w:type="spellEnd"/>
      <w:r w:rsidRPr="00004507">
        <w:rPr>
          <w:rFonts w:ascii="Arial" w:hAnsi="Arial" w:cs="Arial"/>
          <w:color w:val="000000" w:themeColor="text1"/>
          <w:shd w:val="clear" w:color="auto" w:fill="FFFFFF"/>
          <w:lang w:val="en-US"/>
        </w:rPr>
        <w:t xml:space="preserve"> S, </w:t>
      </w:r>
      <w:proofErr w:type="spellStart"/>
      <w:r w:rsidRPr="00004507">
        <w:rPr>
          <w:rFonts w:ascii="Arial" w:hAnsi="Arial" w:cs="Arial"/>
          <w:color w:val="000000" w:themeColor="text1"/>
          <w:shd w:val="clear" w:color="auto" w:fill="FFFFFF"/>
          <w:lang w:val="en-US"/>
        </w:rPr>
        <w:t>Saitta</w:t>
      </w:r>
      <w:proofErr w:type="spellEnd"/>
      <w:r w:rsidRPr="00004507">
        <w:rPr>
          <w:rFonts w:ascii="Arial" w:hAnsi="Arial" w:cs="Arial"/>
          <w:color w:val="000000" w:themeColor="text1"/>
          <w:shd w:val="clear" w:color="auto" w:fill="FFFFFF"/>
          <w:lang w:val="en-US"/>
        </w:rPr>
        <w:t xml:space="preserve"> A</w:t>
      </w:r>
      <w:r w:rsidRPr="00004507">
        <w:rPr>
          <w:rFonts w:ascii="Arial" w:hAnsi="Arial" w:cs="Arial"/>
          <w:color w:val="000000" w:themeColor="text1"/>
          <w:lang w:val="en-US"/>
        </w:rPr>
        <w:t xml:space="preserve"> (2004) Association between serum paraoxonase (PON1) gene promoter T(-107)C polymorphism, PON1 activity and HDL levels in healthy Sicilian octogenarians. </w:t>
      </w:r>
      <w:proofErr w:type="spellStart"/>
      <w:r w:rsidRPr="00004507">
        <w:rPr>
          <w:rFonts w:ascii="Arial" w:hAnsi="Arial" w:cs="Arial"/>
          <w:color w:val="000000" w:themeColor="text1"/>
          <w:lang w:val="en-US"/>
        </w:rPr>
        <w:t>Exp</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Gerontol</w:t>
      </w:r>
      <w:proofErr w:type="spellEnd"/>
      <w:r w:rsidRPr="00004507">
        <w:rPr>
          <w:rFonts w:ascii="Arial" w:hAnsi="Arial" w:cs="Arial"/>
          <w:color w:val="000000" w:themeColor="text1"/>
          <w:lang w:val="en-US"/>
        </w:rPr>
        <w:t xml:space="preserve"> 39:1089-94. https://doi.org/10.1016/j.exger.2004.03.017</w:t>
      </w:r>
    </w:p>
    <w:p w14:paraId="04DC17A9"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lang w:val="en-US"/>
        </w:rPr>
        <w:t xml:space="preserve">Conover WJ (1980) Chapter 5 </w:t>
      </w:r>
      <w:proofErr w:type="gramStart"/>
      <w:r w:rsidRPr="00004507">
        <w:rPr>
          <w:rFonts w:ascii="Arial" w:hAnsi="Arial" w:cs="Arial"/>
          <w:color w:val="000000" w:themeColor="text1"/>
          <w:lang w:val="en-US"/>
        </w:rPr>
        <w:t>Some</w:t>
      </w:r>
      <w:proofErr w:type="gramEnd"/>
      <w:r w:rsidRPr="00004507">
        <w:rPr>
          <w:rFonts w:ascii="Arial" w:hAnsi="Arial" w:cs="Arial"/>
          <w:color w:val="000000" w:themeColor="text1"/>
          <w:lang w:val="en-US"/>
        </w:rPr>
        <w:t xml:space="preserve"> methods based on ranks, Section 5.2 Several independent </w:t>
      </w:r>
      <w:proofErr w:type="spellStart"/>
      <w:r w:rsidRPr="00004507">
        <w:rPr>
          <w:rFonts w:ascii="Arial" w:hAnsi="Arial" w:cs="Arial"/>
          <w:color w:val="000000" w:themeColor="text1"/>
          <w:lang w:val="en-US"/>
        </w:rPr>
        <w:t>samples.In</w:t>
      </w:r>
      <w:proofErr w:type="spellEnd"/>
      <w:r w:rsidRPr="00004507">
        <w:rPr>
          <w:rFonts w:ascii="Arial" w:hAnsi="Arial" w:cs="Arial"/>
          <w:color w:val="000000" w:themeColor="text1"/>
          <w:lang w:val="en-US"/>
        </w:rPr>
        <w:t>: Conover WJ (</w:t>
      </w:r>
      <w:proofErr w:type="spellStart"/>
      <w:r w:rsidRPr="00004507">
        <w:rPr>
          <w:rFonts w:ascii="Arial" w:hAnsi="Arial" w:cs="Arial"/>
          <w:color w:val="000000" w:themeColor="text1"/>
          <w:lang w:val="en-US"/>
        </w:rPr>
        <w:t>ed</w:t>
      </w:r>
      <w:proofErr w:type="spellEnd"/>
      <w:r w:rsidRPr="00004507">
        <w:rPr>
          <w:rFonts w:ascii="Arial" w:hAnsi="Arial" w:cs="Arial"/>
          <w:color w:val="000000" w:themeColor="text1"/>
          <w:lang w:val="en-US"/>
        </w:rPr>
        <w:t xml:space="preserve">) Practical Nonparametric Statistics, 2nd </w:t>
      </w:r>
      <w:proofErr w:type="spellStart"/>
      <w:r w:rsidRPr="00004507">
        <w:rPr>
          <w:rFonts w:ascii="Arial" w:hAnsi="Arial" w:cs="Arial"/>
          <w:color w:val="000000" w:themeColor="text1"/>
          <w:lang w:val="en-US"/>
        </w:rPr>
        <w:t>edn</w:t>
      </w:r>
      <w:proofErr w:type="spellEnd"/>
      <w:r w:rsidRPr="00004507">
        <w:rPr>
          <w:rFonts w:ascii="Arial" w:hAnsi="Arial" w:cs="Arial"/>
          <w:color w:val="000000" w:themeColor="text1"/>
          <w:lang w:val="en-US"/>
        </w:rPr>
        <w:t xml:space="preserve">. John Wiley &amp; Sons, New York, </w:t>
      </w:r>
      <w:proofErr w:type="spellStart"/>
      <w:r w:rsidRPr="00004507">
        <w:rPr>
          <w:rFonts w:ascii="Arial" w:hAnsi="Arial" w:cs="Arial"/>
          <w:color w:val="000000" w:themeColor="text1"/>
          <w:lang w:val="en-US"/>
        </w:rPr>
        <w:t>pp</w:t>
      </w:r>
      <w:proofErr w:type="spellEnd"/>
      <w:r w:rsidRPr="00004507">
        <w:rPr>
          <w:rFonts w:ascii="Arial" w:hAnsi="Arial" w:cs="Arial"/>
          <w:color w:val="000000" w:themeColor="text1"/>
          <w:lang w:val="en-US"/>
        </w:rPr>
        <w:t xml:space="preserve"> 229-239.</w:t>
      </w:r>
    </w:p>
    <w:p w14:paraId="461CDBF2" w14:textId="15E297D3" w:rsidR="006D0FCF" w:rsidRPr="006D0FCF" w:rsidRDefault="00845DF6"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hyperlink r:id="rId9" w:history="1">
        <w:r w:rsidR="006D0FCF" w:rsidRPr="006D0FCF">
          <w:rPr>
            <w:rStyle w:val="Kpr"/>
            <w:rFonts w:ascii="Arial" w:hAnsi="Arial" w:cs="Arial"/>
          </w:rPr>
          <w:t>http://csg.sph.umich.edu/abecasis/cats/gas_power_calculator/</w:t>
        </w:r>
      </w:hyperlink>
      <w:r w:rsidR="006D0FCF" w:rsidRPr="006D0FCF">
        <w:rPr>
          <w:rFonts w:ascii="Arial" w:hAnsi="Arial" w:cs="Arial"/>
          <w:color w:val="000000" w:themeColor="text1"/>
          <w:shd w:val="clear" w:color="auto" w:fill="FFFFFF"/>
          <w:lang w:val="en-US"/>
        </w:rPr>
        <w:t xml:space="preserve"> </w:t>
      </w:r>
      <w:r w:rsidR="0062237E">
        <w:rPr>
          <w:rFonts w:ascii="Arial" w:hAnsi="Arial" w:cs="Arial"/>
          <w:color w:val="000000" w:themeColor="text1"/>
          <w:shd w:val="clear" w:color="auto" w:fill="FFFFFF"/>
          <w:lang w:val="en-US"/>
        </w:rPr>
        <w:t>last accessed: May 3</w:t>
      </w:r>
      <w:r w:rsidR="0062237E" w:rsidRPr="0062237E">
        <w:rPr>
          <w:rFonts w:ascii="Arial" w:hAnsi="Arial" w:cs="Arial"/>
          <w:color w:val="000000" w:themeColor="text1"/>
          <w:shd w:val="clear" w:color="auto" w:fill="FFFFFF"/>
          <w:vertAlign w:val="superscript"/>
          <w:lang w:val="en-US"/>
        </w:rPr>
        <w:t>rd</w:t>
      </w:r>
      <w:r w:rsidR="0062237E">
        <w:rPr>
          <w:rFonts w:ascii="Arial" w:hAnsi="Arial" w:cs="Arial"/>
          <w:color w:val="000000" w:themeColor="text1"/>
          <w:shd w:val="clear" w:color="auto" w:fill="FFFFFF"/>
          <w:lang w:val="en-US"/>
        </w:rPr>
        <w:t>, 2019.</w:t>
      </w:r>
    </w:p>
    <w:p w14:paraId="0A8454B0" w14:textId="2F576079"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shd w:val="clear" w:color="auto" w:fill="FFFFFF"/>
          <w:lang w:val="en-US"/>
        </w:rPr>
        <w:t>Majka</w:t>
      </w:r>
      <w:proofErr w:type="spellEnd"/>
      <w:r w:rsidRPr="00004507">
        <w:rPr>
          <w:rFonts w:ascii="Arial" w:hAnsi="Arial" w:cs="Arial"/>
          <w:color w:val="000000" w:themeColor="text1"/>
          <w:shd w:val="clear" w:color="auto" w:fill="FFFFFF"/>
          <w:lang w:val="en-US"/>
        </w:rPr>
        <w:t xml:space="preserve"> CP, </w:t>
      </w:r>
      <w:proofErr w:type="spellStart"/>
      <w:r w:rsidRPr="00004507">
        <w:rPr>
          <w:rFonts w:ascii="Arial" w:hAnsi="Arial" w:cs="Arial"/>
          <w:color w:val="000000" w:themeColor="text1"/>
          <w:shd w:val="clear" w:color="auto" w:fill="FFFFFF"/>
          <w:lang w:val="en-US"/>
        </w:rPr>
        <w:t>Challa</w:t>
      </w:r>
      <w:proofErr w:type="spellEnd"/>
      <w:r w:rsidRPr="00004507">
        <w:rPr>
          <w:rFonts w:ascii="Arial" w:hAnsi="Arial" w:cs="Arial"/>
          <w:color w:val="000000" w:themeColor="text1"/>
          <w:shd w:val="clear" w:color="auto" w:fill="FFFFFF"/>
          <w:lang w:val="en-US"/>
        </w:rPr>
        <w:t xml:space="preserve"> P (2006) </w:t>
      </w:r>
      <w:r w:rsidRPr="00004507">
        <w:rPr>
          <w:rFonts w:ascii="Arial" w:hAnsi="Arial" w:cs="Arial"/>
          <w:color w:val="000000" w:themeColor="text1"/>
          <w:spacing w:val="-8"/>
          <w:lang w:val="en-US"/>
        </w:rPr>
        <w:t xml:space="preserve">Diagnosis and Management of Pseudoexfoliation Glaucoma. </w:t>
      </w:r>
      <w:proofErr w:type="spellStart"/>
      <w:r w:rsidRPr="00004507">
        <w:rPr>
          <w:rFonts w:ascii="Arial" w:hAnsi="Arial" w:cs="Arial"/>
          <w:color w:val="000000" w:themeColor="text1"/>
          <w:shd w:val="clear" w:color="auto" w:fill="FFFFFF"/>
          <w:lang w:val="en-US"/>
        </w:rPr>
        <w:t>EyeNet</w:t>
      </w:r>
      <w:proofErr w:type="spellEnd"/>
      <w:r w:rsidRPr="00004507">
        <w:rPr>
          <w:rFonts w:ascii="Arial" w:hAnsi="Arial" w:cs="Arial"/>
          <w:color w:val="000000" w:themeColor="text1"/>
          <w:shd w:val="clear" w:color="auto" w:fill="FFFFFF"/>
          <w:lang w:val="en-US"/>
        </w:rPr>
        <w:t xml:space="preserve"> Magazine. </w:t>
      </w:r>
    </w:p>
    <w:p w14:paraId="11B19073"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shd w:val="clear" w:color="auto" w:fill="FFFFFF"/>
          <w:lang w:val="en-US"/>
        </w:rPr>
        <w:t xml:space="preserve">https://www.aao.org/eyenet/article/diagnosis-management-of-pseudoexfoliation-glaucoma. </w:t>
      </w:r>
      <w:proofErr w:type="gramStart"/>
      <w:r w:rsidRPr="00004507">
        <w:rPr>
          <w:rFonts w:ascii="Arial" w:hAnsi="Arial" w:cs="Arial"/>
          <w:color w:val="000000" w:themeColor="text1"/>
          <w:shd w:val="clear" w:color="auto" w:fill="FFFFFF"/>
          <w:lang w:val="en-US"/>
        </w:rPr>
        <w:t>Accessed 10 January 2019.</w:t>
      </w:r>
      <w:proofErr w:type="gramEnd"/>
    </w:p>
    <w:p w14:paraId="63FF3B35"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shd w:val="clear" w:color="auto" w:fill="FFFFFF"/>
          <w:lang w:val="en-US"/>
        </w:rPr>
        <w:t>Brissette</w:t>
      </w:r>
      <w:proofErr w:type="spellEnd"/>
      <w:r w:rsidRPr="00004507">
        <w:rPr>
          <w:rFonts w:ascii="Arial" w:hAnsi="Arial" w:cs="Arial"/>
          <w:color w:val="000000" w:themeColor="text1"/>
          <w:shd w:val="clear" w:color="auto" w:fill="FFFFFF"/>
          <w:lang w:val="en-US"/>
        </w:rPr>
        <w:t xml:space="preserve"> AR, Schweitzer K, </w:t>
      </w:r>
      <w:proofErr w:type="gramStart"/>
      <w:r w:rsidRPr="00004507">
        <w:rPr>
          <w:rFonts w:ascii="Arial" w:hAnsi="Arial" w:cs="Arial"/>
          <w:color w:val="000000" w:themeColor="text1"/>
          <w:shd w:val="clear" w:color="auto" w:fill="FFFFFF"/>
          <w:lang w:val="en-US"/>
        </w:rPr>
        <w:t>Campbell</w:t>
      </w:r>
      <w:proofErr w:type="gramEnd"/>
      <w:r w:rsidRPr="00004507">
        <w:rPr>
          <w:rFonts w:ascii="Arial" w:hAnsi="Arial" w:cs="Arial"/>
          <w:color w:val="000000" w:themeColor="text1"/>
          <w:shd w:val="clear" w:color="auto" w:fill="FFFFFF"/>
          <w:lang w:val="en-US"/>
        </w:rPr>
        <w:t xml:space="preserve"> RJ (2011) Answer: Can you identify this condition? </w:t>
      </w:r>
      <w:r w:rsidRPr="00004507">
        <w:rPr>
          <w:rFonts w:ascii="Arial" w:hAnsi="Arial" w:cs="Arial"/>
          <w:iCs/>
          <w:color w:val="000000" w:themeColor="text1"/>
          <w:shd w:val="clear" w:color="auto" w:fill="FFFFFF"/>
          <w:lang w:val="en-US"/>
        </w:rPr>
        <w:t xml:space="preserve">Can </w:t>
      </w:r>
      <w:proofErr w:type="spellStart"/>
      <w:proofErr w:type="gramStart"/>
      <w:r w:rsidRPr="00004507">
        <w:rPr>
          <w:rFonts w:ascii="Arial" w:hAnsi="Arial" w:cs="Arial"/>
          <w:iCs/>
          <w:color w:val="000000" w:themeColor="text1"/>
          <w:shd w:val="clear" w:color="auto" w:fill="FFFFFF"/>
          <w:lang w:val="en-US"/>
        </w:rPr>
        <w:t>Fam</w:t>
      </w:r>
      <w:proofErr w:type="spellEnd"/>
      <w:proofErr w:type="gramEnd"/>
      <w:r w:rsidRPr="00004507">
        <w:rPr>
          <w:rFonts w:ascii="Arial" w:hAnsi="Arial" w:cs="Arial"/>
          <w:iCs/>
          <w:color w:val="000000" w:themeColor="text1"/>
          <w:shd w:val="clear" w:color="auto" w:fill="FFFFFF"/>
          <w:lang w:val="en-US"/>
        </w:rPr>
        <w:t xml:space="preserve"> Physician</w:t>
      </w:r>
      <w:r w:rsidRPr="00004507">
        <w:rPr>
          <w:rFonts w:ascii="Arial" w:hAnsi="Arial" w:cs="Arial"/>
          <w:color w:val="000000" w:themeColor="text1"/>
          <w:shd w:val="clear" w:color="auto" w:fill="FFFFFF"/>
          <w:lang w:val="en-US"/>
        </w:rPr>
        <w:t xml:space="preserve"> 57(6):687-688.</w:t>
      </w:r>
    </w:p>
    <w:p w14:paraId="518F3945"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lastRenderedPageBreak/>
        <w:t xml:space="preserve">Camps J, </w:t>
      </w:r>
      <w:proofErr w:type="spellStart"/>
      <w:r w:rsidRPr="00004507">
        <w:rPr>
          <w:rFonts w:ascii="Arial" w:hAnsi="Arial" w:cs="Arial"/>
          <w:color w:val="000000" w:themeColor="text1"/>
          <w:lang w:val="en-US"/>
        </w:rPr>
        <w:t>García</w:t>
      </w:r>
      <w:proofErr w:type="spellEnd"/>
      <w:r w:rsidRPr="00004507">
        <w:rPr>
          <w:rFonts w:ascii="Arial" w:hAnsi="Arial" w:cs="Arial"/>
          <w:color w:val="000000" w:themeColor="text1"/>
          <w:lang w:val="en-US"/>
        </w:rPr>
        <w:t xml:space="preserve">-Heredia A, </w:t>
      </w:r>
      <w:proofErr w:type="spellStart"/>
      <w:r w:rsidRPr="00004507">
        <w:rPr>
          <w:rFonts w:ascii="Arial" w:hAnsi="Arial" w:cs="Arial"/>
          <w:color w:val="000000" w:themeColor="text1"/>
          <w:lang w:val="en-US"/>
        </w:rPr>
        <w:t>Rull</w:t>
      </w:r>
      <w:proofErr w:type="spellEnd"/>
      <w:r w:rsidRPr="00004507">
        <w:rPr>
          <w:rFonts w:ascii="Arial" w:hAnsi="Arial" w:cs="Arial"/>
          <w:color w:val="000000" w:themeColor="text1"/>
          <w:lang w:val="en-US"/>
        </w:rPr>
        <w:t xml:space="preserve"> A,</w:t>
      </w:r>
      <w:r w:rsidRPr="00004507">
        <w:rPr>
          <w:rFonts w:ascii="Arial" w:hAnsi="Arial" w:cs="Arial"/>
          <w:color w:val="000000" w:themeColor="text1"/>
          <w:bdr w:val="none" w:sz="0" w:space="0" w:color="auto" w:frame="1"/>
          <w:shd w:val="clear" w:color="auto" w:fill="FFFFFF"/>
          <w:lang w:val="en-US"/>
        </w:rPr>
        <w:t xml:space="preserve"> Alonso-</w:t>
      </w:r>
      <w:proofErr w:type="spellStart"/>
      <w:r w:rsidRPr="00004507">
        <w:rPr>
          <w:rFonts w:ascii="Arial" w:hAnsi="Arial" w:cs="Arial"/>
          <w:color w:val="000000" w:themeColor="text1"/>
          <w:bdr w:val="none" w:sz="0" w:space="0" w:color="auto" w:frame="1"/>
          <w:shd w:val="clear" w:color="auto" w:fill="FFFFFF"/>
          <w:lang w:val="en-US"/>
        </w:rPr>
        <w:t>Villaverde</w:t>
      </w:r>
      <w:proofErr w:type="spellEnd"/>
      <w:r w:rsidRPr="00004507">
        <w:rPr>
          <w:rFonts w:ascii="Arial" w:hAnsi="Arial" w:cs="Arial"/>
          <w:color w:val="000000" w:themeColor="text1"/>
          <w:bdr w:val="none" w:sz="0" w:space="0" w:color="auto" w:frame="1"/>
          <w:shd w:val="clear" w:color="auto" w:fill="FFFFFF"/>
          <w:lang w:val="en-US"/>
        </w:rPr>
        <w:t xml:space="preserve"> C,</w:t>
      </w:r>
      <w:r w:rsidRPr="00004507">
        <w:rPr>
          <w:rFonts w:ascii="Arial" w:hAnsi="Arial" w:cs="Arial"/>
          <w:color w:val="000000" w:themeColor="text1"/>
          <w:shd w:val="clear" w:color="auto" w:fill="FFFFFF"/>
          <w:lang w:val="en-US"/>
        </w:rPr>
        <w:t> </w:t>
      </w:r>
      <w:proofErr w:type="spellStart"/>
      <w:r w:rsidRPr="00004507">
        <w:rPr>
          <w:rFonts w:ascii="Arial" w:hAnsi="Arial" w:cs="Arial"/>
          <w:color w:val="000000" w:themeColor="text1"/>
          <w:bdr w:val="none" w:sz="0" w:space="0" w:color="auto" w:frame="1"/>
          <w:shd w:val="clear" w:color="auto" w:fill="FFFFFF"/>
          <w:lang w:val="en-US"/>
        </w:rPr>
        <w:t>Aragonès</w:t>
      </w:r>
      <w:proofErr w:type="spellEnd"/>
      <w:r w:rsidRPr="00004507">
        <w:rPr>
          <w:rFonts w:ascii="Arial" w:hAnsi="Arial" w:cs="Arial"/>
          <w:color w:val="000000" w:themeColor="text1"/>
          <w:bdr w:val="none" w:sz="0" w:space="0" w:color="auto" w:frame="1"/>
          <w:shd w:val="clear" w:color="auto" w:fill="FFFFFF"/>
          <w:lang w:val="en-US"/>
        </w:rPr>
        <w:t xml:space="preserve"> G,</w:t>
      </w:r>
      <w:r w:rsidRPr="00004507">
        <w:rPr>
          <w:rFonts w:ascii="Arial" w:hAnsi="Arial" w:cs="Arial"/>
          <w:color w:val="000000" w:themeColor="text1"/>
          <w:shd w:val="clear" w:color="auto" w:fill="FFFFFF"/>
          <w:lang w:val="en-US"/>
        </w:rPr>
        <w:t> </w:t>
      </w:r>
      <w:proofErr w:type="spellStart"/>
      <w:r w:rsidRPr="00004507">
        <w:rPr>
          <w:rFonts w:ascii="Arial" w:hAnsi="Arial" w:cs="Arial"/>
          <w:color w:val="000000" w:themeColor="text1"/>
          <w:bdr w:val="none" w:sz="0" w:space="0" w:color="auto" w:frame="1"/>
          <w:shd w:val="clear" w:color="auto" w:fill="FFFFFF"/>
          <w:lang w:val="en-US"/>
        </w:rPr>
        <w:t>Beltrán-Debón</w:t>
      </w:r>
      <w:proofErr w:type="spellEnd"/>
      <w:r w:rsidRPr="00004507">
        <w:rPr>
          <w:rFonts w:ascii="Arial" w:hAnsi="Arial" w:cs="Arial"/>
          <w:color w:val="000000" w:themeColor="text1"/>
          <w:bdr w:val="none" w:sz="0" w:space="0" w:color="auto" w:frame="1"/>
          <w:shd w:val="clear" w:color="auto" w:fill="FFFFFF"/>
          <w:lang w:val="en-US"/>
        </w:rPr>
        <w:t xml:space="preserve"> R,</w:t>
      </w:r>
      <w:r w:rsidRPr="00004507">
        <w:rPr>
          <w:rFonts w:ascii="Arial" w:hAnsi="Arial" w:cs="Arial"/>
          <w:color w:val="000000" w:themeColor="text1"/>
          <w:shd w:val="clear" w:color="auto" w:fill="FFFFFF"/>
          <w:lang w:val="en-US"/>
        </w:rPr>
        <w:t> </w:t>
      </w:r>
      <w:r w:rsidRPr="00004507">
        <w:rPr>
          <w:rFonts w:ascii="Arial" w:hAnsi="Arial" w:cs="Arial"/>
          <w:color w:val="000000" w:themeColor="text1"/>
          <w:bdr w:val="none" w:sz="0" w:space="0" w:color="auto" w:frame="1"/>
          <w:shd w:val="clear" w:color="auto" w:fill="FFFFFF"/>
          <w:lang w:val="en-US"/>
        </w:rPr>
        <w:t>Rodríguez-</w:t>
      </w:r>
      <w:proofErr w:type="spellStart"/>
      <w:r w:rsidRPr="00004507">
        <w:rPr>
          <w:rFonts w:ascii="Arial" w:hAnsi="Arial" w:cs="Arial"/>
          <w:color w:val="000000" w:themeColor="text1"/>
          <w:bdr w:val="none" w:sz="0" w:space="0" w:color="auto" w:frame="1"/>
          <w:shd w:val="clear" w:color="auto" w:fill="FFFFFF"/>
          <w:lang w:val="en-US"/>
        </w:rPr>
        <w:t>Gallego</w:t>
      </w:r>
      <w:proofErr w:type="spellEnd"/>
      <w:r w:rsidRPr="00004507">
        <w:rPr>
          <w:rFonts w:ascii="Arial" w:hAnsi="Arial" w:cs="Arial"/>
          <w:color w:val="000000" w:themeColor="text1"/>
          <w:bdr w:val="none" w:sz="0" w:space="0" w:color="auto" w:frame="1"/>
          <w:shd w:val="clear" w:color="auto" w:fill="FFFFFF"/>
          <w:lang w:val="en-US"/>
        </w:rPr>
        <w:t xml:space="preserve"> E,</w:t>
      </w:r>
      <w:r w:rsidRPr="00004507">
        <w:rPr>
          <w:rFonts w:ascii="Arial" w:hAnsi="Arial" w:cs="Arial"/>
          <w:color w:val="000000" w:themeColor="text1"/>
          <w:shd w:val="clear" w:color="auto" w:fill="FFFFFF"/>
          <w:lang w:val="en-US"/>
        </w:rPr>
        <w:t xml:space="preserve"> </w:t>
      </w:r>
      <w:proofErr w:type="spellStart"/>
      <w:r w:rsidRPr="00004507">
        <w:rPr>
          <w:rFonts w:ascii="Arial" w:hAnsi="Arial" w:cs="Arial"/>
          <w:color w:val="000000" w:themeColor="text1"/>
          <w:bdr w:val="none" w:sz="0" w:space="0" w:color="auto" w:frame="1"/>
          <w:shd w:val="clear" w:color="auto" w:fill="FFFFFF"/>
          <w:lang w:val="en-US"/>
        </w:rPr>
        <w:t>Joven</w:t>
      </w:r>
      <w:proofErr w:type="spellEnd"/>
      <w:r w:rsidRPr="00004507">
        <w:rPr>
          <w:rFonts w:ascii="Arial" w:hAnsi="Arial" w:cs="Arial"/>
          <w:color w:val="000000" w:themeColor="text1"/>
          <w:bdr w:val="none" w:sz="0" w:space="0" w:color="auto" w:frame="1"/>
          <w:shd w:val="clear" w:color="auto" w:fill="FFFFFF"/>
          <w:lang w:val="en-US"/>
        </w:rPr>
        <w:t xml:space="preserve"> J (</w:t>
      </w:r>
      <w:r w:rsidRPr="00004507">
        <w:rPr>
          <w:rFonts w:ascii="Arial" w:hAnsi="Arial" w:cs="Arial"/>
          <w:color w:val="000000" w:themeColor="text1"/>
          <w:lang w:val="en-US"/>
        </w:rPr>
        <w:t xml:space="preserve">2012) PPARs in Regulation of </w:t>
      </w:r>
      <w:proofErr w:type="spellStart"/>
      <w:r w:rsidRPr="00004507">
        <w:rPr>
          <w:rFonts w:ascii="Arial" w:hAnsi="Arial" w:cs="Arial"/>
          <w:color w:val="000000" w:themeColor="text1"/>
          <w:lang w:val="en-US"/>
        </w:rPr>
        <w:t>Paraoxonases</w:t>
      </w:r>
      <w:proofErr w:type="spellEnd"/>
      <w:r w:rsidRPr="00004507">
        <w:rPr>
          <w:rFonts w:ascii="Arial" w:hAnsi="Arial" w:cs="Arial"/>
          <w:color w:val="000000" w:themeColor="text1"/>
          <w:lang w:val="en-US"/>
        </w:rPr>
        <w:t xml:space="preserve">: Control of Oxidative Stress and Inflammation Pathways. PPAR Res 2012:616371. </w:t>
      </w:r>
      <w:r w:rsidRPr="00004507">
        <w:rPr>
          <w:rFonts w:ascii="Arial" w:hAnsi="Arial" w:cs="Arial"/>
          <w:color w:val="000000" w:themeColor="text1"/>
          <w:bdr w:val="none" w:sz="0" w:space="0" w:color="auto" w:frame="1"/>
          <w:lang w:val="en-US"/>
        </w:rPr>
        <w:t>http://dx.doi.org/10.1155/2012/616371</w:t>
      </w:r>
    </w:p>
    <w:p w14:paraId="7E94DDCF" w14:textId="77777777" w:rsidR="00DB7DF3" w:rsidRPr="00004507" w:rsidRDefault="00DB7DF3" w:rsidP="00DB7DF3">
      <w:pPr>
        <w:pStyle w:val="ListeParagraf"/>
        <w:numPr>
          <w:ilvl w:val="0"/>
          <w:numId w:val="5"/>
        </w:numPr>
        <w:shd w:val="clear" w:color="auto" w:fill="FFFFFF"/>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Mackness</w:t>
      </w:r>
      <w:proofErr w:type="spellEnd"/>
      <w:r w:rsidRPr="00004507">
        <w:rPr>
          <w:rFonts w:ascii="Arial" w:hAnsi="Arial" w:cs="Arial"/>
          <w:color w:val="000000" w:themeColor="text1"/>
          <w:lang w:val="en-US"/>
        </w:rPr>
        <w:t xml:space="preserve"> B, </w:t>
      </w:r>
      <w:proofErr w:type="spellStart"/>
      <w:r w:rsidRPr="00004507">
        <w:rPr>
          <w:rFonts w:ascii="Arial" w:hAnsi="Arial" w:cs="Arial"/>
          <w:color w:val="000000" w:themeColor="text1"/>
          <w:lang w:val="en-US"/>
        </w:rPr>
        <w:t>Mackness</w:t>
      </w:r>
      <w:proofErr w:type="spellEnd"/>
      <w:r w:rsidRPr="00004507">
        <w:rPr>
          <w:rFonts w:ascii="Arial" w:hAnsi="Arial" w:cs="Arial"/>
          <w:color w:val="000000" w:themeColor="text1"/>
          <w:lang w:val="en-US"/>
        </w:rPr>
        <w:t xml:space="preserve"> MI, </w:t>
      </w:r>
      <w:proofErr w:type="spellStart"/>
      <w:r w:rsidRPr="00004507">
        <w:rPr>
          <w:rFonts w:ascii="Arial" w:hAnsi="Arial" w:cs="Arial"/>
          <w:color w:val="000000" w:themeColor="text1"/>
          <w:lang w:val="en-US"/>
        </w:rPr>
        <w:t>Arrol</w:t>
      </w:r>
      <w:proofErr w:type="spellEnd"/>
      <w:r w:rsidRPr="00004507">
        <w:rPr>
          <w:rFonts w:ascii="Arial" w:hAnsi="Arial" w:cs="Arial"/>
          <w:color w:val="000000" w:themeColor="text1"/>
          <w:lang w:val="en-US"/>
        </w:rPr>
        <w:t xml:space="preserve"> S, </w:t>
      </w:r>
      <w:proofErr w:type="spellStart"/>
      <w:r w:rsidRPr="00004507">
        <w:rPr>
          <w:rFonts w:ascii="Arial" w:hAnsi="Arial" w:cs="Arial"/>
          <w:color w:val="000000" w:themeColor="text1"/>
          <w:lang w:val="en-US"/>
        </w:rPr>
        <w:t>Turkie</w:t>
      </w:r>
      <w:proofErr w:type="spellEnd"/>
      <w:r w:rsidRPr="00004507">
        <w:rPr>
          <w:rFonts w:ascii="Arial" w:hAnsi="Arial" w:cs="Arial"/>
          <w:color w:val="000000" w:themeColor="text1"/>
          <w:lang w:val="en-US"/>
        </w:rPr>
        <w:t xml:space="preserve"> W, </w:t>
      </w:r>
      <w:proofErr w:type="spellStart"/>
      <w:r w:rsidRPr="00004507">
        <w:rPr>
          <w:rFonts w:ascii="Arial" w:hAnsi="Arial" w:cs="Arial"/>
          <w:color w:val="000000" w:themeColor="text1"/>
          <w:lang w:val="en-US"/>
        </w:rPr>
        <w:t>Julier</w:t>
      </w:r>
      <w:proofErr w:type="spellEnd"/>
      <w:r w:rsidRPr="00004507">
        <w:rPr>
          <w:rFonts w:ascii="Arial" w:hAnsi="Arial" w:cs="Arial"/>
          <w:color w:val="000000" w:themeColor="text1"/>
          <w:lang w:val="en-US"/>
        </w:rPr>
        <w:t xml:space="preserve"> K, </w:t>
      </w:r>
      <w:proofErr w:type="spellStart"/>
      <w:r w:rsidRPr="00004507">
        <w:rPr>
          <w:rFonts w:ascii="Arial" w:hAnsi="Arial" w:cs="Arial"/>
          <w:color w:val="000000" w:themeColor="text1"/>
          <w:lang w:val="en-US"/>
        </w:rPr>
        <w:t>Abuasha</w:t>
      </w:r>
      <w:proofErr w:type="spellEnd"/>
      <w:r w:rsidRPr="00004507">
        <w:rPr>
          <w:rFonts w:ascii="Arial" w:hAnsi="Arial" w:cs="Arial"/>
          <w:color w:val="000000" w:themeColor="text1"/>
          <w:lang w:val="en-US"/>
        </w:rPr>
        <w:t xml:space="preserve"> B, Miller JE, </w:t>
      </w:r>
      <w:proofErr w:type="spellStart"/>
      <w:r w:rsidRPr="00004507">
        <w:rPr>
          <w:rFonts w:ascii="Arial" w:hAnsi="Arial" w:cs="Arial"/>
          <w:color w:val="000000" w:themeColor="text1"/>
          <w:lang w:val="en-US"/>
        </w:rPr>
        <w:t>Boulton</w:t>
      </w:r>
      <w:proofErr w:type="spellEnd"/>
      <w:r w:rsidRPr="00004507">
        <w:rPr>
          <w:rFonts w:ascii="Arial" w:hAnsi="Arial" w:cs="Arial"/>
          <w:color w:val="000000" w:themeColor="text1"/>
          <w:lang w:val="en-US"/>
        </w:rPr>
        <w:t xml:space="preserve"> AJ, </w:t>
      </w:r>
      <w:proofErr w:type="spellStart"/>
      <w:r w:rsidRPr="00004507">
        <w:rPr>
          <w:rFonts w:ascii="Arial" w:hAnsi="Arial" w:cs="Arial"/>
          <w:color w:val="000000" w:themeColor="text1"/>
          <w:lang w:val="en-US"/>
        </w:rPr>
        <w:t>Durrington</w:t>
      </w:r>
      <w:proofErr w:type="spellEnd"/>
      <w:r w:rsidRPr="00004507">
        <w:rPr>
          <w:rFonts w:ascii="Arial" w:hAnsi="Arial" w:cs="Arial"/>
          <w:color w:val="000000" w:themeColor="text1"/>
          <w:lang w:val="en-US"/>
        </w:rPr>
        <w:t xml:space="preserve"> PN (1998) Serum paraoxonase (PON1) 55 and 192 polymorphism and paraoxonase activity and concentration in non-insulin dependent diabetes mellitus. </w:t>
      </w:r>
      <w:r w:rsidRPr="00004507">
        <w:rPr>
          <w:rFonts w:ascii="Arial" w:hAnsi="Arial" w:cs="Arial"/>
          <w:iCs/>
          <w:color w:val="000000" w:themeColor="text1"/>
          <w:lang w:val="en-US"/>
        </w:rPr>
        <w:t xml:space="preserve">Atherosclerosis </w:t>
      </w:r>
      <w:r w:rsidRPr="00004507">
        <w:rPr>
          <w:rFonts w:ascii="Arial" w:hAnsi="Arial" w:cs="Arial"/>
          <w:color w:val="000000" w:themeColor="text1"/>
          <w:lang w:val="en-US"/>
        </w:rPr>
        <w:t xml:space="preserve">139:341-49. </w:t>
      </w:r>
    </w:p>
    <w:p w14:paraId="300E54EC" w14:textId="77777777" w:rsidR="00DB7DF3" w:rsidRPr="00004507" w:rsidRDefault="00DB7DF3" w:rsidP="00DB7DF3">
      <w:pPr>
        <w:pStyle w:val="ListeParagraf"/>
        <w:shd w:val="clear" w:color="auto" w:fill="FFFFFF"/>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https://doi.org/10.1016/S0021-</w:t>
      </w:r>
      <w:proofErr w:type="gramStart"/>
      <w:r w:rsidRPr="00004507">
        <w:rPr>
          <w:rFonts w:ascii="Arial" w:hAnsi="Arial" w:cs="Arial"/>
          <w:color w:val="000000" w:themeColor="text1"/>
          <w:lang w:val="en-US"/>
        </w:rPr>
        <w:t>9150(</w:t>
      </w:r>
      <w:proofErr w:type="gramEnd"/>
      <w:r w:rsidRPr="00004507">
        <w:rPr>
          <w:rFonts w:ascii="Arial" w:hAnsi="Arial" w:cs="Arial"/>
          <w:color w:val="000000" w:themeColor="text1"/>
          <w:lang w:val="en-US"/>
        </w:rPr>
        <w:t>98)00095-1</w:t>
      </w:r>
    </w:p>
    <w:p w14:paraId="30DCABFD"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McElveen</w:t>
      </w:r>
      <w:proofErr w:type="spellEnd"/>
      <w:r w:rsidRPr="00004507">
        <w:rPr>
          <w:rFonts w:ascii="Arial" w:hAnsi="Arial" w:cs="Arial"/>
          <w:color w:val="000000" w:themeColor="text1"/>
          <w:lang w:val="en-US"/>
        </w:rPr>
        <w:t xml:space="preserve"> J, </w:t>
      </w:r>
      <w:proofErr w:type="spellStart"/>
      <w:r w:rsidRPr="00004507">
        <w:rPr>
          <w:rFonts w:ascii="Arial" w:hAnsi="Arial" w:cs="Arial"/>
          <w:color w:val="000000" w:themeColor="text1"/>
          <w:lang w:val="en-US"/>
        </w:rPr>
        <w:t>Mackness</w:t>
      </w:r>
      <w:proofErr w:type="spellEnd"/>
      <w:r w:rsidRPr="00004507">
        <w:rPr>
          <w:rFonts w:ascii="Arial" w:hAnsi="Arial" w:cs="Arial"/>
          <w:color w:val="000000" w:themeColor="text1"/>
          <w:lang w:val="en-US"/>
        </w:rPr>
        <w:t xml:space="preserve"> MI, Colley CM, </w:t>
      </w:r>
      <w:proofErr w:type="spellStart"/>
      <w:r w:rsidRPr="00004507">
        <w:rPr>
          <w:rFonts w:ascii="Arial" w:hAnsi="Arial" w:cs="Arial"/>
          <w:color w:val="000000" w:themeColor="text1"/>
          <w:lang w:val="en-US"/>
        </w:rPr>
        <w:t>Peard</w:t>
      </w:r>
      <w:proofErr w:type="spellEnd"/>
      <w:r w:rsidRPr="00004507">
        <w:rPr>
          <w:rFonts w:ascii="Arial" w:hAnsi="Arial" w:cs="Arial"/>
          <w:color w:val="000000" w:themeColor="text1"/>
          <w:lang w:val="en-US"/>
        </w:rPr>
        <w:t xml:space="preserve"> T, Warner S, Walker CH (1986) Distribution of </w:t>
      </w:r>
      <w:proofErr w:type="spellStart"/>
      <w:r w:rsidRPr="00004507">
        <w:rPr>
          <w:rFonts w:ascii="Arial" w:hAnsi="Arial" w:cs="Arial"/>
          <w:color w:val="000000" w:themeColor="text1"/>
          <w:lang w:val="en-US"/>
        </w:rPr>
        <w:t>paraoxon</w:t>
      </w:r>
      <w:proofErr w:type="spellEnd"/>
      <w:r w:rsidRPr="00004507">
        <w:rPr>
          <w:rFonts w:ascii="Arial" w:hAnsi="Arial" w:cs="Arial"/>
          <w:color w:val="000000" w:themeColor="text1"/>
          <w:lang w:val="en-US"/>
        </w:rPr>
        <w:t xml:space="preserve"> hydrolytic activity in the serum of patients after myocardial infarction.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Chem</w:t>
      </w:r>
      <w:proofErr w:type="spellEnd"/>
      <w:r w:rsidRPr="00004507">
        <w:rPr>
          <w:rFonts w:ascii="Arial" w:hAnsi="Arial" w:cs="Arial"/>
          <w:color w:val="000000" w:themeColor="text1"/>
          <w:lang w:val="en-US"/>
        </w:rPr>
        <w:t xml:space="preserve"> 32:671-3.</w:t>
      </w:r>
    </w:p>
    <w:p w14:paraId="1CBEE2FA"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lang w:val="en-US"/>
        </w:rPr>
        <w:t>Jarvik</w:t>
      </w:r>
      <w:proofErr w:type="spellEnd"/>
      <w:r w:rsidRPr="00004507">
        <w:rPr>
          <w:rFonts w:ascii="Arial" w:hAnsi="Arial" w:cs="Arial"/>
          <w:color w:val="000000" w:themeColor="text1"/>
          <w:lang w:val="en-US"/>
        </w:rPr>
        <w:t xml:space="preserve"> GP, </w:t>
      </w:r>
      <w:proofErr w:type="spellStart"/>
      <w:r w:rsidRPr="00004507">
        <w:rPr>
          <w:rFonts w:ascii="Arial" w:hAnsi="Arial" w:cs="Arial"/>
          <w:color w:val="000000" w:themeColor="text1"/>
          <w:lang w:val="en-US"/>
        </w:rPr>
        <w:t>Rozek</w:t>
      </w:r>
      <w:proofErr w:type="spellEnd"/>
      <w:r w:rsidRPr="00004507">
        <w:rPr>
          <w:rFonts w:ascii="Arial" w:hAnsi="Arial" w:cs="Arial"/>
          <w:color w:val="000000" w:themeColor="text1"/>
          <w:lang w:val="en-US"/>
        </w:rPr>
        <w:t xml:space="preserve"> LS, </w:t>
      </w:r>
      <w:proofErr w:type="spellStart"/>
      <w:r w:rsidRPr="00004507">
        <w:rPr>
          <w:rFonts w:ascii="Arial" w:hAnsi="Arial" w:cs="Arial"/>
          <w:color w:val="000000" w:themeColor="text1"/>
          <w:lang w:val="en-US"/>
        </w:rPr>
        <w:t>Brophy</w:t>
      </w:r>
      <w:proofErr w:type="spellEnd"/>
      <w:r w:rsidRPr="00004507">
        <w:rPr>
          <w:rFonts w:ascii="Arial" w:hAnsi="Arial" w:cs="Arial"/>
          <w:color w:val="000000" w:themeColor="text1"/>
          <w:lang w:val="en-US"/>
        </w:rPr>
        <w:t xml:space="preserve"> VH, </w:t>
      </w:r>
      <w:proofErr w:type="spellStart"/>
      <w:r w:rsidRPr="00004507">
        <w:rPr>
          <w:rFonts w:ascii="Arial" w:hAnsi="Arial" w:cs="Arial"/>
          <w:color w:val="000000" w:themeColor="text1"/>
          <w:lang w:val="en-US"/>
        </w:rPr>
        <w:t>Hatsukami</w:t>
      </w:r>
      <w:proofErr w:type="spellEnd"/>
      <w:r w:rsidRPr="00004507">
        <w:rPr>
          <w:rFonts w:ascii="Arial" w:hAnsi="Arial" w:cs="Arial"/>
          <w:color w:val="000000" w:themeColor="text1"/>
          <w:lang w:val="en-US"/>
        </w:rPr>
        <w:t xml:space="preserve"> TS, Richter RJ, </w:t>
      </w:r>
      <w:proofErr w:type="spellStart"/>
      <w:r w:rsidRPr="00004507">
        <w:rPr>
          <w:rFonts w:ascii="Arial" w:hAnsi="Arial" w:cs="Arial"/>
          <w:color w:val="000000" w:themeColor="text1"/>
          <w:lang w:val="en-US"/>
        </w:rPr>
        <w:t>Schellenberg</w:t>
      </w:r>
      <w:proofErr w:type="spellEnd"/>
      <w:r w:rsidRPr="00004507">
        <w:rPr>
          <w:rFonts w:ascii="Arial" w:hAnsi="Arial" w:cs="Arial"/>
          <w:color w:val="000000" w:themeColor="text1"/>
          <w:lang w:val="en-US"/>
        </w:rPr>
        <w:t xml:space="preserve"> GD, Furlong CE (2000) Paraoxonase (PON1) phenotype is a better predictor of vascular disease than is PON1 (192) or PON1 (55) genotype. </w:t>
      </w:r>
      <w:proofErr w:type="spellStart"/>
      <w:r w:rsidRPr="00004507">
        <w:rPr>
          <w:rFonts w:ascii="Arial" w:hAnsi="Arial" w:cs="Arial"/>
          <w:color w:val="000000" w:themeColor="text1"/>
          <w:lang w:val="en-US"/>
        </w:rPr>
        <w:t>Arterioscler</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Thromb</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Vasc</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Biol</w:t>
      </w:r>
      <w:proofErr w:type="spellEnd"/>
      <w:r w:rsidRPr="00004507">
        <w:rPr>
          <w:rFonts w:ascii="Arial" w:hAnsi="Arial" w:cs="Arial"/>
          <w:color w:val="000000" w:themeColor="text1"/>
          <w:lang w:val="en-US"/>
        </w:rPr>
        <w:t xml:space="preserve"> 20:2441-2447.</w:t>
      </w:r>
    </w:p>
    <w:p w14:paraId="62165108"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shd w:val="clear" w:color="auto" w:fill="FFFFFF"/>
          <w:lang w:val="en-US"/>
        </w:rPr>
      </w:pPr>
      <w:r w:rsidRPr="00004507">
        <w:rPr>
          <w:rFonts w:ascii="Arial" w:hAnsi="Arial" w:cs="Arial"/>
          <w:color w:val="000000" w:themeColor="text1"/>
          <w:shd w:val="clear" w:color="auto" w:fill="FFFFFF"/>
          <w:lang w:val="en-US"/>
        </w:rPr>
        <w:t>https://doi.org/10.1161/01.ATV.20.11.2441</w:t>
      </w:r>
    </w:p>
    <w:p w14:paraId="0D2F934D"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shd w:val="clear" w:color="auto" w:fill="FFFFFF"/>
          <w:lang w:val="en-US"/>
        </w:rPr>
        <w:t>Andrikopoulos</w:t>
      </w:r>
      <w:proofErr w:type="spellEnd"/>
      <w:r w:rsidRPr="00004507">
        <w:rPr>
          <w:rFonts w:ascii="Arial" w:hAnsi="Arial" w:cs="Arial"/>
          <w:color w:val="000000" w:themeColor="text1"/>
          <w:shd w:val="clear" w:color="auto" w:fill="FFFFFF"/>
          <w:lang w:val="en-US"/>
        </w:rPr>
        <w:t xml:space="preserve"> GK, </w:t>
      </w:r>
      <w:proofErr w:type="spellStart"/>
      <w:r w:rsidRPr="00004507">
        <w:rPr>
          <w:rFonts w:ascii="Arial" w:hAnsi="Arial" w:cs="Arial"/>
          <w:color w:val="000000" w:themeColor="text1"/>
          <w:shd w:val="clear" w:color="auto" w:fill="FFFFFF"/>
          <w:lang w:val="en-US"/>
        </w:rPr>
        <w:t>Alexopoulos</w:t>
      </w:r>
      <w:proofErr w:type="spellEnd"/>
      <w:r w:rsidRPr="00004507">
        <w:rPr>
          <w:rFonts w:ascii="Arial" w:hAnsi="Arial" w:cs="Arial"/>
          <w:color w:val="000000" w:themeColor="text1"/>
          <w:shd w:val="clear" w:color="auto" w:fill="FFFFFF"/>
          <w:lang w:val="en-US"/>
        </w:rPr>
        <w:t xml:space="preserve"> DK, </w:t>
      </w:r>
      <w:proofErr w:type="spellStart"/>
      <w:r w:rsidRPr="00004507">
        <w:rPr>
          <w:rFonts w:ascii="Arial" w:hAnsi="Arial" w:cs="Arial"/>
          <w:color w:val="000000" w:themeColor="text1"/>
          <w:shd w:val="clear" w:color="auto" w:fill="FFFFFF"/>
          <w:lang w:val="en-US"/>
        </w:rPr>
        <w:t>Gartaganis</w:t>
      </w:r>
      <w:proofErr w:type="spellEnd"/>
      <w:r w:rsidRPr="00004507">
        <w:rPr>
          <w:rFonts w:ascii="Arial" w:hAnsi="Arial" w:cs="Arial"/>
          <w:color w:val="000000" w:themeColor="text1"/>
          <w:shd w:val="clear" w:color="auto" w:fill="FFFFFF"/>
          <w:lang w:val="en-US"/>
        </w:rPr>
        <w:t xml:space="preserve"> SP (2014) Pseudoexfoliation syndrome and cardiovascular diseases. </w:t>
      </w:r>
      <w:r w:rsidRPr="00004507">
        <w:rPr>
          <w:rFonts w:ascii="Arial" w:hAnsi="Arial" w:cs="Arial"/>
          <w:iCs/>
          <w:color w:val="000000" w:themeColor="text1"/>
          <w:shd w:val="clear" w:color="auto" w:fill="FFFFFF"/>
          <w:lang w:val="en-US"/>
        </w:rPr>
        <w:t xml:space="preserve">World J </w:t>
      </w:r>
      <w:proofErr w:type="spellStart"/>
      <w:r w:rsidRPr="00004507">
        <w:rPr>
          <w:rFonts w:ascii="Arial" w:hAnsi="Arial" w:cs="Arial"/>
          <w:iCs/>
          <w:color w:val="000000" w:themeColor="text1"/>
          <w:shd w:val="clear" w:color="auto" w:fill="FFFFFF"/>
          <w:lang w:val="en-US"/>
        </w:rPr>
        <w:t>Cardiol</w:t>
      </w:r>
      <w:proofErr w:type="spellEnd"/>
      <w:r w:rsidRPr="00004507">
        <w:rPr>
          <w:rFonts w:ascii="Arial" w:hAnsi="Arial" w:cs="Arial"/>
          <w:color w:val="000000" w:themeColor="text1"/>
          <w:shd w:val="clear" w:color="auto" w:fill="FFFFFF"/>
          <w:lang w:val="en-US"/>
        </w:rPr>
        <w:t xml:space="preserve"> 6(8):847-54. https://doi.org/10.4330/wjc.v6.i8.847</w:t>
      </w:r>
    </w:p>
    <w:p w14:paraId="753299F5"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shd w:val="clear" w:color="auto" w:fill="FFFFFF"/>
          <w:lang w:val="en-US"/>
        </w:rPr>
      </w:pPr>
      <w:proofErr w:type="spellStart"/>
      <w:r w:rsidRPr="00004507">
        <w:rPr>
          <w:rFonts w:ascii="Arial" w:hAnsi="Arial" w:cs="Arial"/>
          <w:color w:val="000000" w:themeColor="text1"/>
          <w:shd w:val="clear" w:color="auto" w:fill="FFFFFF"/>
          <w:lang w:val="en-US"/>
        </w:rPr>
        <w:t>Liton</w:t>
      </w:r>
      <w:proofErr w:type="spellEnd"/>
      <w:r w:rsidRPr="00004507">
        <w:rPr>
          <w:rFonts w:ascii="Arial" w:hAnsi="Arial" w:cs="Arial"/>
          <w:color w:val="000000" w:themeColor="text1"/>
          <w:shd w:val="clear" w:color="auto" w:fill="FFFFFF"/>
          <w:lang w:val="en-US"/>
        </w:rPr>
        <w:t xml:space="preserve"> PB, Luna C, </w:t>
      </w:r>
      <w:proofErr w:type="spellStart"/>
      <w:r w:rsidRPr="00004507">
        <w:rPr>
          <w:rFonts w:ascii="Arial" w:hAnsi="Arial" w:cs="Arial"/>
          <w:color w:val="000000" w:themeColor="text1"/>
          <w:shd w:val="clear" w:color="auto" w:fill="FFFFFF"/>
          <w:lang w:val="en-US"/>
        </w:rPr>
        <w:t>Challa</w:t>
      </w:r>
      <w:proofErr w:type="spellEnd"/>
      <w:r w:rsidRPr="00004507">
        <w:rPr>
          <w:rFonts w:ascii="Arial" w:hAnsi="Arial" w:cs="Arial"/>
          <w:color w:val="000000" w:themeColor="text1"/>
          <w:shd w:val="clear" w:color="auto" w:fill="FFFFFF"/>
          <w:lang w:val="en-US"/>
        </w:rPr>
        <w:t xml:space="preserve"> P, Epstein DL, Gonzalez P (2006) Genome-wide expression profile of human trabecular meshwork cultured cells, </w:t>
      </w:r>
      <w:proofErr w:type="spellStart"/>
      <w:r w:rsidRPr="00004507">
        <w:rPr>
          <w:rFonts w:ascii="Arial" w:hAnsi="Arial" w:cs="Arial"/>
          <w:color w:val="000000" w:themeColor="text1"/>
          <w:shd w:val="clear" w:color="auto" w:fill="FFFFFF"/>
          <w:lang w:val="en-US"/>
        </w:rPr>
        <w:t>nonglaucomatous</w:t>
      </w:r>
      <w:proofErr w:type="spellEnd"/>
      <w:r w:rsidRPr="00004507">
        <w:rPr>
          <w:rFonts w:ascii="Arial" w:hAnsi="Arial" w:cs="Arial"/>
          <w:color w:val="000000" w:themeColor="text1"/>
          <w:shd w:val="clear" w:color="auto" w:fill="FFFFFF"/>
          <w:lang w:val="en-US"/>
        </w:rPr>
        <w:t xml:space="preserve"> and primary open angle glaucoma tissue. </w:t>
      </w:r>
      <w:proofErr w:type="spellStart"/>
      <w:r w:rsidRPr="00004507">
        <w:rPr>
          <w:rFonts w:ascii="Arial" w:hAnsi="Arial" w:cs="Arial"/>
          <w:iCs/>
          <w:color w:val="000000" w:themeColor="text1"/>
          <w:shd w:val="clear" w:color="auto" w:fill="FFFFFF"/>
          <w:lang w:val="en-US"/>
        </w:rPr>
        <w:t>Mol</w:t>
      </w:r>
      <w:proofErr w:type="spellEnd"/>
      <w:r w:rsidRPr="00004507">
        <w:rPr>
          <w:rFonts w:ascii="Arial" w:hAnsi="Arial" w:cs="Arial"/>
          <w:iCs/>
          <w:color w:val="000000" w:themeColor="text1"/>
          <w:shd w:val="clear" w:color="auto" w:fill="FFFFFF"/>
          <w:lang w:val="en-US"/>
        </w:rPr>
        <w:t xml:space="preserve"> Vis</w:t>
      </w:r>
      <w:r w:rsidRPr="00004507">
        <w:rPr>
          <w:rFonts w:ascii="Arial" w:hAnsi="Arial" w:cs="Arial"/>
          <w:color w:val="000000" w:themeColor="text1"/>
          <w:shd w:val="clear" w:color="auto" w:fill="FFFFFF"/>
          <w:lang w:val="en-US"/>
        </w:rPr>
        <w:t xml:space="preserve"> 12:774-90. </w:t>
      </w:r>
    </w:p>
    <w:p w14:paraId="3149338E"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 xml:space="preserve">Joe MK, </w:t>
      </w:r>
      <w:proofErr w:type="spellStart"/>
      <w:r w:rsidRPr="00004507">
        <w:rPr>
          <w:rFonts w:ascii="Arial" w:hAnsi="Arial" w:cs="Arial"/>
          <w:color w:val="000000" w:themeColor="text1"/>
          <w:shd w:val="clear" w:color="auto" w:fill="FFFFFF"/>
          <w:lang w:val="en-US"/>
        </w:rPr>
        <w:t>Tomarev</w:t>
      </w:r>
      <w:proofErr w:type="spellEnd"/>
      <w:r w:rsidRPr="00004507">
        <w:rPr>
          <w:rFonts w:ascii="Arial" w:hAnsi="Arial" w:cs="Arial"/>
          <w:color w:val="000000" w:themeColor="text1"/>
          <w:shd w:val="clear" w:color="auto" w:fill="FFFFFF"/>
          <w:lang w:val="en-US"/>
        </w:rPr>
        <w:t xml:space="preserve"> SI (2010) Expression of </w:t>
      </w:r>
      <w:proofErr w:type="spellStart"/>
      <w:r w:rsidRPr="00004507">
        <w:rPr>
          <w:rFonts w:ascii="Arial" w:hAnsi="Arial" w:cs="Arial"/>
          <w:color w:val="000000" w:themeColor="text1"/>
          <w:shd w:val="clear" w:color="auto" w:fill="FFFFFF"/>
          <w:lang w:val="en-US"/>
        </w:rPr>
        <w:t>myocilin</w:t>
      </w:r>
      <w:proofErr w:type="spellEnd"/>
      <w:r w:rsidRPr="00004507">
        <w:rPr>
          <w:rFonts w:ascii="Arial" w:hAnsi="Arial" w:cs="Arial"/>
          <w:color w:val="000000" w:themeColor="text1"/>
          <w:shd w:val="clear" w:color="auto" w:fill="FFFFFF"/>
          <w:lang w:val="en-US"/>
        </w:rPr>
        <w:t xml:space="preserve"> mutants sensitizes cells to oxidative stress-induced apoptosis: implication for glaucoma pathogenesis. </w:t>
      </w:r>
      <w:r w:rsidRPr="00004507">
        <w:rPr>
          <w:rFonts w:ascii="Arial" w:hAnsi="Arial" w:cs="Arial"/>
          <w:iCs/>
          <w:color w:val="000000" w:themeColor="text1"/>
          <w:shd w:val="clear" w:color="auto" w:fill="FFFFFF"/>
          <w:lang w:val="en-US"/>
        </w:rPr>
        <w:t xml:space="preserve">Am J </w:t>
      </w:r>
      <w:proofErr w:type="spellStart"/>
      <w:r w:rsidRPr="00004507">
        <w:rPr>
          <w:rFonts w:ascii="Arial" w:hAnsi="Arial" w:cs="Arial"/>
          <w:iCs/>
          <w:color w:val="000000" w:themeColor="text1"/>
          <w:shd w:val="clear" w:color="auto" w:fill="FFFFFF"/>
          <w:lang w:val="en-US"/>
        </w:rPr>
        <w:t>Pathol</w:t>
      </w:r>
      <w:proofErr w:type="spellEnd"/>
      <w:r w:rsidRPr="00004507">
        <w:rPr>
          <w:rFonts w:ascii="Arial" w:hAnsi="Arial" w:cs="Arial"/>
          <w:color w:val="000000" w:themeColor="text1"/>
          <w:shd w:val="clear" w:color="auto" w:fill="FFFFFF"/>
          <w:lang w:val="en-US"/>
        </w:rPr>
        <w:t xml:space="preserve"> 176(6):2880-</w:t>
      </w:r>
      <w:proofErr w:type="gramStart"/>
      <w:r w:rsidRPr="00004507">
        <w:rPr>
          <w:rFonts w:ascii="Arial" w:hAnsi="Arial" w:cs="Arial"/>
          <w:color w:val="000000" w:themeColor="text1"/>
          <w:shd w:val="clear" w:color="auto" w:fill="FFFFFF"/>
          <w:lang w:val="en-US"/>
        </w:rPr>
        <w:t>90.</w:t>
      </w:r>
      <w:proofErr w:type="gramEnd"/>
    </w:p>
    <w:p w14:paraId="604BA99F"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https://doi.org/10.2353/ajpath.2010.090853</w:t>
      </w:r>
    </w:p>
    <w:p w14:paraId="51B72D33"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Mumcu</w:t>
      </w:r>
      <w:proofErr w:type="spellEnd"/>
      <w:r w:rsidRPr="00004507">
        <w:rPr>
          <w:rFonts w:ascii="Arial" w:hAnsi="Arial" w:cs="Arial"/>
          <w:color w:val="000000" w:themeColor="text1"/>
          <w:lang w:val="en-US"/>
        </w:rPr>
        <w:t xml:space="preserve"> UY, </w:t>
      </w:r>
      <w:proofErr w:type="spellStart"/>
      <w:r w:rsidRPr="00004507">
        <w:rPr>
          <w:rFonts w:ascii="Arial" w:hAnsi="Arial" w:cs="Arial"/>
          <w:color w:val="000000" w:themeColor="text1"/>
          <w:lang w:val="en-US"/>
        </w:rPr>
        <w:t>Kocer</w:t>
      </w:r>
      <w:proofErr w:type="spellEnd"/>
      <w:r w:rsidRPr="00004507">
        <w:rPr>
          <w:rFonts w:ascii="Arial" w:hAnsi="Arial" w:cs="Arial"/>
          <w:color w:val="000000" w:themeColor="text1"/>
          <w:lang w:val="en-US"/>
        </w:rPr>
        <w:t xml:space="preserve"> I, </w:t>
      </w:r>
      <w:proofErr w:type="spellStart"/>
      <w:r w:rsidRPr="00004507">
        <w:rPr>
          <w:rFonts w:ascii="Arial" w:hAnsi="Arial" w:cs="Arial"/>
          <w:color w:val="000000" w:themeColor="text1"/>
          <w:lang w:val="en-US"/>
        </w:rPr>
        <w:t>Ates</w:t>
      </w:r>
      <w:proofErr w:type="spellEnd"/>
      <w:r w:rsidRPr="00004507">
        <w:rPr>
          <w:rFonts w:ascii="Arial" w:hAnsi="Arial" w:cs="Arial"/>
          <w:color w:val="000000" w:themeColor="text1"/>
          <w:lang w:val="en-US"/>
        </w:rPr>
        <w:t xml:space="preserve"> O, Alp HH (2016) Decreased paraoxonase1 activity and increased </w:t>
      </w:r>
      <w:proofErr w:type="spellStart"/>
      <w:r w:rsidRPr="00004507">
        <w:rPr>
          <w:rFonts w:ascii="Arial" w:hAnsi="Arial" w:cs="Arial"/>
          <w:color w:val="000000" w:themeColor="text1"/>
          <w:lang w:val="en-US"/>
        </w:rPr>
        <w:t>malondialdehyde</w:t>
      </w:r>
      <w:proofErr w:type="spellEnd"/>
      <w:r w:rsidRPr="00004507">
        <w:rPr>
          <w:rFonts w:ascii="Arial" w:hAnsi="Arial" w:cs="Arial"/>
          <w:color w:val="000000" w:themeColor="text1"/>
          <w:lang w:val="en-US"/>
        </w:rPr>
        <w:t xml:space="preserve"> and oxidative DNA damage levels in primary open angle </w:t>
      </w:r>
      <w:r w:rsidRPr="00004507">
        <w:rPr>
          <w:rFonts w:ascii="Arial" w:hAnsi="Arial" w:cs="Arial"/>
          <w:bCs/>
          <w:color w:val="000000" w:themeColor="text1"/>
          <w:lang w:val="en-US"/>
        </w:rPr>
        <w:t>glaucoma</w:t>
      </w:r>
      <w:r w:rsidRPr="00004507">
        <w:rPr>
          <w:rFonts w:ascii="Arial" w:hAnsi="Arial" w:cs="Arial"/>
          <w:color w:val="000000" w:themeColor="text1"/>
          <w:lang w:val="en-US"/>
        </w:rPr>
        <w:t xml:space="preserve">. </w:t>
      </w:r>
      <w:proofErr w:type="spellStart"/>
      <w:r w:rsidRPr="00004507">
        <w:rPr>
          <w:rStyle w:val="jrnl"/>
          <w:rFonts w:ascii="Arial" w:hAnsi="Arial" w:cs="Arial"/>
          <w:color w:val="000000" w:themeColor="text1"/>
          <w:lang w:val="en-US"/>
        </w:rPr>
        <w:t>Int</w:t>
      </w:r>
      <w:proofErr w:type="spellEnd"/>
      <w:r w:rsidRPr="00004507">
        <w:rPr>
          <w:rStyle w:val="jrnl"/>
          <w:rFonts w:ascii="Arial" w:hAnsi="Arial" w:cs="Arial"/>
          <w:color w:val="000000" w:themeColor="text1"/>
          <w:lang w:val="en-US"/>
        </w:rPr>
        <w:t xml:space="preserve"> J </w:t>
      </w:r>
      <w:proofErr w:type="spellStart"/>
      <w:r w:rsidRPr="00004507">
        <w:rPr>
          <w:rStyle w:val="jrnl"/>
          <w:rFonts w:ascii="Arial" w:hAnsi="Arial" w:cs="Arial"/>
          <w:color w:val="000000" w:themeColor="text1"/>
          <w:lang w:val="en-US"/>
        </w:rPr>
        <w:t>Ophthalmol</w:t>
      </w:r>
      <w:proofErr w:type="spellEnd"/>
      <w:r w:rsidRPr="00004507">
        <w:rPr>
          <w:rFonts w:ascii="Arial" w:hAnsi="Arial" w:cs="Arial"/>
          <w:color w:val="000000" w:themeColor="text1"/>
          <w:lang w:val="en-US"/>
        </w:rPr>
        <w:t xml:space="preserve"> 9(10):1518-1520.</w:t>
      </w:r>
    </w:p>
    <w:p w14:paraId="7B4DE1B4"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https://doi.org/</w:t>
      </w:r>
      <w:r w:rsidRPr="00004507">
        <w:rPr>
          <w:rFonts w:ascii="Arial" w:hAnsi="Arial" w:cs="Arial"/>
          <w:color w:val="000000" w:themeColor="text1"/>
          <w:lang w:val="en-US"/>
        </w:rPr>
        <w:t>10.18240/ijo.2016.10.24</w:t>
      </w:r>
    </w:p>
    <w:p w14:paraId="75D8B0F8"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shd w:val="clear" w:color="auto" w:fill="FFFFFF"/>
          <w:lang w:val="en-US"/>
        </w:rPr>
        <w:t>Yilmaz</w:t>
      </w:r>
      <w:proofErr w:type="spellEnd"/>
      <w:r w:rsidRPr="00004507">
        <w:rPr>
          <w:rFonts w:ascii="Arial" w:hAnsi="Arial" w:cs="Arial"/>
          <w:color w:val="000000" w:themeColor="text1"/>
          <w:shd w:val="clear" w:color="auto" w:fill="FFFFFF"/>
          <w:lang w:val="en-US"/>
        </w:rPr>
        <w:t xml:space="preserve"> N, </w:t>
      </w:r>
      <w:proofErr w:type="spellStart"/>
      <w:r w:rsidRPr="00004507">
        <w:rPr>
          <w:rFonts w:ascii="Arial" w:hAnsi="Arial" w:cs="Arial"/>
          <w:color w:val="000000" w:themeColor="text1"/>
          <w:shd w:val="clear" w:color="auto" w:fill="FFFFFF"/>
          <w:lang w:val="en-US"/>
        </w:rPr>
        <w:t>Coban</w:t>
      </w:r>
      <w:proofErr w:type="spellEnd"/>
      <w:r w:rsidRPr="00004507">
        <w:rPr>
          <w:rFonts w:ascii="Arial" w:hAnsi="Arial" w:cs="Arial"/>
          <w:color w:val="000000" w:themeColor="text1"/>
          <w:shd w:val="clear" w:color="auto" w:fill="FFFFFF"/>
          <w:lang w:val="en-US"/>
        </w:rPr>
        <w:t xml:space="preserve"> DT, </w:t>
      </w:r>
      <w:proofErr w:type="spellStart"/>
      <w:r w:rsidRPr="00004507">
        <w:rPr>
          <w:rFonts w:ascii="Arial" w:hAnsi="Arial" w:cs="Arial"/>
          <w:color w:val="000000" w:themeColor="text1"/>
          <w:shd w:val="clear" w:color="auto" w:fill="FFFFFF"/>
          <w:lang w:val="en-US"/>
        </w:rPr>
        <w:t>Bayindir</w:t>
      </w:r>
      <w:proofErr w:type="spellEnd"/>
      <w:r w:rsidRPr="00004507">
        <w:rPr>
          <w:rFonts w:ascii="Arial" w:hAnsi="Arial" w:cs="Arial"/>
          <w:color w:val="000000" w:themeColor="text1"/>
          <w:shd w:val="clear" w:color="auto" w:fill="FFFFFF"/>
          <w:lang w:val="en-US"/>
        </w:rPr>
        <w:t xml:space="preserve"> A, </w:t>
      </w:r>
      <w:proofErr w:type="spellStart"/>
      <w:r w:rsidRPr="00004507">
        <w:rPr>
          <w:rFonts w:ascii="Arial" w:hAnsi="Arial" w:cs="Arial"/>
          <w:color w:val="000000" w:themeColor="text1"/>
          <w:shd w:val="clear" w:color="auto" w:fill="FFFFFF"/>
          <w:lang w:val="en-US"/>
        </w:rPr>
        <w:t>Erol</w:t>
      </w:r>
      <w:proofErr w:type="spellEnd"/>
      <w:r w:rsidRPr="00004507">
        <w:rPr>
          <w:rFonts w:ascii="Arial" w:hAnsi="Arial" w:cs="Arial"/>
          <w:color w:val="000000" w:themeColor="text1"/>
          <w:shd w:val="clear" w:color="auto" w:fill="FFFFFF"/>
          <w:lang w:val="en-US"/>
        </w:rPr>
        <w:t xml:space="preserve"> MK, </w:t>
      </w:r>
      <w:proofErr w:type="spellStart"/>
      <w:r w:rsidRPr="00004507">
        <w:rPr>
          <w:rFonts w:ascii="Arial" w:hAnsi="Arial" w:cs="Arial"/>
          <w:color w:val="000000" w:themeColor="text1"/>
          <w:shd w:val="clear" w:color="auto" w:fill="FFFFFF"/>
          <w:lang w:val="en-US"/>
        </w:rPr>
        <w:t>Ellidag</w:t>
      </w:r>
      <w:proofErr w:type="spellEnd"/>
      <w:r w:rsidRPr="00004507">
        <w:rPr>
          <w:rFonts w:ascii="Arial" w:hAnsi="Arial" w:cs="Arial"/>
          <w:color w:val="000000" w:themeColor="text1"/>
          <w:shd w:val="clear" w:color="auto" w:fill="FFFFFF"/>
          <w:lang w:val="en-US"/>
        </w:rPr>
        <w:t xml:space="preserve"> HY, </w:t>
      </w:r>
      <w:proofErr w:type="spellStart"/>
      <w:r w:rsidRPr="00004507">
        <w:rPr>
          <w:rFonts w:ascii="Arial" w:hAnsi="Arial" w:cs="Arial"/>
          <w:color w:val="000000" w:themeColor="text1"/>
          <w:shd w:val="clear" w:color="auto" w:fill="FFFFFF"/>
          <w:lang w:val="en-US"/>
        </w:rPr>
        <w:t>Giray</w:t>
      </w:r>
      <w:proofErr w:type="spellEnd"/>
      <w:r w:rsidRPr="00004507">
        <w:rPr>
          <w:rFonts w:ascii="Arial" w:hAnsi="Arial" w:cs="Arial"/>
          <w:color w:val="000000" w:themeColor="text1"/>
          <w:shd w:val="clear" w:color="auto" w:fill="FFFFFF"/>
          <w:lang w:val="en-US"/>
        </w:rPr>
        <w:t xml:space="preserve"> O, </w:t>
      </w:r>
      <w:proofErr w:type="spellStart"/>
      <w:r w:rsidRPr="00004507">
        <w:rPr>
          <w:rFonts w:ascii="Arial" w:hAnsi="Arial" w:cs="Arial"/>
          <w:color w:val="000000" w:themeColor="text1"/>
          <w:shd w:val="clear" w:color="auto" w:fill="FFFFFF"/>
          <w:lang w:val="en-US"/>
        </w:rPr>
        <w:t>Sayrac</w:t>
      </w:r>
      <w:proofErr w:type="spellEnd"/>
      <w:r w:rsidRPr="00004507">
        <w:rPr>
          <w:rFonts w:ascii="Arial" w:hAnsi="Arial" w:cs="Arial"/>
          <w:color w:val="000000" w:themeColor="text1"/>
          <w:shd w:val="clear" w:color="auto" w:fill="FFFFFF"/>
          <w:lang w:val="en-US"/>
        </w:rPr>
        <w:t xml:space="preserve"> S, </w:t>
      </w:r>
      <w:proofErr w:type="spellStart"/>
      <w:r w:rsidRPr="00004507">
        <w:rPr>
          <w:rFonts w:ascii="Arial" w:hAnsi="Arial" w:cs="Arial"/>
          <w:color w:val="000000" w:themeColor="text1"/>
          <w:shd w:val="clear" w:color="auto" w:fill="FFFFFF"/>
          <w:lang w:val="en-US"/>
        </w:rPr>
        <w:t>Tekeli</w:t>
      </w:r>
      <w:proofErr w:type="spellEnd"/>
      <w:r w:rsidRPr="00004507">
        <w:rPr>
          <w:rFonts w:ascii="Arial" w:hAnsi="Arial" w:cs="Arial"/>
          <w:color w:val="000000" w:themeColor="text1"/>
          <w:shd w:val="clear" w:color="auto" w:fill="FFFFFF"/>
          <w:lang w:val="en-US"/>
        </w:rPr>
        <w:t xml:space="preserve"> SO, </w:t>
      </w:r>
      <w:proofErr w:type="spellStart"/>
      <w:r w:rsidRPr="00004507">
        <w:rPr>
          <w:rFonts w:ascii="Arial" w:hAnsi="Arial" w:cs="Arial"/>
          <w:color w:val="000000" w:themeColor="text1"/>
          <w:shd w:val="clear" w:color="auto" w:fill="FFFFFF"/>
          <w:lang w:val="en-US"/>
        </w:rPr>
        <w:t>Eren</w:t>
      </w:r>
      <w:proofErr w:type="spellEnd"/>
      <w:r w:rsidRPr="00004507">
        <w:rPr>
          <w:rFonts w:ascii="Arial" w:hAnsi="Arial" w:cs="Arial"/>
          <w:color w:val="000000" w:themeColor="text1"/>
          <w:shd w:val="clear" w:color="auto" w:fill="FFFFFF"/>
          <w:lang w:val="en-US"/>
        </w:rPr>
        <w:t xml:space="preserve"> E (2016) Higher serum lipids and oxidative stress in patients with normal tension glaucoma, but not pseudoexfoliative glaucoma. </w:t>
      </w:r>
      <w:proofErr w:type="spellStart"/>
      <w:r w:rsidRPr="00004507">
        <w:rPr>
          <w:rFonts w:ascii="Arial" w:hAnsi="Arial" w:cs="Arial"/>
          <w:iCs/>
          <w:color w:val="000000" w:themeColor="text1"/>
          <w:shd w:val="clear" w:color="auto" w:fill="FFFFFF"/>
          <w:lang w:val="en-US"/>
        </w:rPr>
        <w:t>Bosn</w:t>
      </w:r>
      <w:proofErr w:type="spellEnd"/>
      <w:r w:rsidRPr="00004507">
        <w:rPr>
          <w:rFonts w:ascii="Arial" w:hAnsi="Arial" w:cs="Arial"/>
          <w:iCs/>
          <w:color w:val="000000" w:themeColor="text1"/>
          <w:shd w:val="clear" w:color="auto" w:fill="FFFFFF"/>
          <w:lang w:val="en-US"/>
        </w:rPr>
        <w:t xml:space="preserve"> J Basic Med </w:t>
      </w:r>
      <w:proofErr w:type="spellStart"/>
      <w:r w:rsidRPr="00004507">
        <w:rPr>
          <w:rFonts w:ascii="Arial" w:hAnsi="Arial" w:cs="Arial"/>
          <w:iCs/>
          <w:color w:val="000000" w:themeColor="text1"/>
          <w:shd w:val="clear" w:color="auto" w:fill="FFFFFF"/>
          <w:lang w:val="en-US"/>
        </w:rPr>
        <w:t>Sci</w:t>
      </w:r>
      <w:proofErr w:type="spellEnd"/>
      <w:r w:rsidRPr="00004507">
        <w:rPr>
          <w:rFonts w:ascii="Arial" w:hAnsi="Arial" w:cs="Arial"/>
          <w:color w:val="000000" w:themeColor="text1"/>
          <w:shd w:val="clear" w:color="auto" w:fill="FFFFFF"/>
          <w:lang w:val="en-US"/>
        </w:rPr>
        <w:t> </w:t>
      </w:r>
      <w:r w:rsidRPr="00004507">
        <w:rPr>
          <w:rFonts w:ascii="Arial" w:hAnsi="Arial" w:cs="Arial"/>
          <w:iCs/>
          <w:color w:val="000000" w:themeColor="text1"/>
          <w:shd w:val="clear" w:color="auto" w:fill="FFFFFF"/>
          <w:lang w:val="en-US"/>
        </w:rPr>
        <w:t>16</w:t>
      </w:r>
      <w:r w:rsidRPr="00004507">
        <w:rPr>
          <w:rFonts w:ascii="Arial" w:hAnsi="Arial" w:cs="Arial"/>
          <w:color w:val="000000" w:themeColor="text1"/>
          <w:shd w:val="clear" w:color="auto" w:fill="FFFFFF"/>
          <w:lang w:val="en-US"/>
        </w:rPr>
        <w:t>(1):21-27. https://doi.org/10.17305/bjbms.2016.830</w:t>
      </w:r>
    </w:p>
    <w:p w14:paraId="150A2098"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Aviram</w:t>
      </w:r>
      <w:proofErr w:type="spellEnd"/>
      <w:r w:rsidRPr="00004507">
        <w:rPr>
          <w:rFonts w:ascii="Arial" w:hAnsi="Arial" w:cs="Arial"/>
          <w:color w:val="000000" w:themeColor="text1"/>
          <w:lang w:val="en-US"/>
        </w:rPr>
        <w:t xml:space="preserve"> M, </w:t>
      </w:r>
      <w:proofErr w:type="spellStart"/>
      <w:r w:rsidRPr="00004507">
        <w:rPr>
          <w:rFonts w:ascii="Arial" w:hAnsi="Arial" w:cs="Arial"/>
          <w:color w:val="000000" w:themeColor="text1"/>
          <w:lang w:val="en-US"/>
        </w:rPr>
        <w:t>Billecke</w:t>
      </w:r>
      <w:proofErr w:type="spellEnd"/>
      <w:r w:rsidRPr="00004507">
        <w:rPr>
          <w:rFonts w:ascii="Arial" w:hAnsi="Arial" w:cs="Arial"/>
          <w:color w:val="000000" w:themeColor="text1"/>
          <w:lang w:val="en-US"/>
        </w:rPr>
        <w:t xml:space="preserve"> S, Sorenson R, </w:t>
      </w:r>
      <w:proofErr w:type="spellStart"/>
      <w:r w:rsidRPr="00004507">
        <w:rPr>
          <w:rFonts w:ascii="Arial" w:hAnsi="Arial" w:cs="Arial"/>
          <w:color w:val="000000" w:themeColor="text1"/>
          <w:shd w:val="clear" w:color="auto" w:fill="FFFFFF"/>
          <w:lang w:val="en-US"/>
        </w:rPr>
        <w:t>Bisgaier</w:t>
      </w:r>
      <w:proofErr w:type="spellEnd"/>
      <w:r w:rsidRPr="00004507">
        <w:rPr>
          <w:rFonts w:ascii="Arial" w:hAnsi="Arial" w:cs="Arial"/>
          <w:color w:val="000000" w:themeColor="text1"/>
          <w:shd w:val="clear" w:color="auto" w:fill="FFFFFF"/>
          <w:lang w:val="en-US"/>
        </w:rPr>
        <w:t xml:space="preserve"> C, Newton R, </w:t>
      </w:r>
      <w:proofErr w:type="spellStart"/>
      <w:r w:rsidRPr="00004507">
        <w:rPr>
          <w:rFonts w:ascii="Arial" w:hAnsi="Arial" w:cs="Arial"/>
          <w:color w:val="000000" w:themeColor="text1"/>
          <w:shd w:val="clear" w:color="auto" w:fill="FFFFFF"/>
          <w:lang w:val="en-US"/>
        </w:rPr>
        <w:t>Rosenblat</w:t>
      </w:r>
      <w:proofErr w:type="spellEnd"/>
      <w:r w:rsidRPr="00004507">
        <w:rPr>
          <w:rFonts w:ascii="Arial" w:hAnsi="Arial" w:cs="Arial"/>
          <w:color w:val="000000" w:themeColor="text1"/>
          <w:shd w:val="clear" w:color="auto" w:fill="FFFFFF"/>
          <w:lang w:val="en-US"/>
        </w:rPr>
        <w:t xml:space="preserve"> M, </w:t>
      </w:r>
      <w:proofErr w:type="spellStart"/>
      <w:r w:rsidRPr="00004507">
        <w:rPr>
          <w:rFonts w:ascii="Arial" w:hAnsi="Arial" w:cs="Arial"/>
          <w:color w:val="000000" w:themeColor="text1"/>
          <w:shd w:val="clear" w:color="auto" w:fill="FFFFFF"/>
          <w:lang w:val="en-US"/>
        </w:rPr>
        <w:t>Erogul</w:t>
      </w:r>
      <w:proofErr w:type="spellEnd"/>
      <w:r w:rsidRPr="00004507">
        <w:rPr>
          <w:rFonts w:ascii="Arial" w:hAnsi="Arial" w:cs="Arial"/>
          <w:color w:val="000000" w:themeColor="text1"/>
          <w:shd w:val="clear" w:color="auto" w:fill="FFFFFF"/>
          <w:lang w:val="en-US"/>
        </w:rPr>
        <w:t xml:space="preserve"> J, Hsu C, Dunlop C, La Du B</w:t>
      </w:r>
      <w:r w:rsidRPr="00004507">
        <w:rPr>
          <w:rFonts w:ascii="Arial" w:hAnsi="Arial" w:cs="Arial"/>
          <w:color w:val="000000" w:themeColor="text1"/>
          <w:lang w:val="en-US"/>
        </w:rPr>
        <w:t xml:space="preserve"> (1998) Paraoxonase active site required for protection against LDL oxidation involves its free sulfhydryl group and is different from that required for its </w:t>
      </w:r>
      <w:proofErr w:type="spellStart"/>
      <w:r w:rsidRPr="00004507">
        <w:rPr>
          <w:rFonts w:ascii="Arial" w:hAnsi="Arial" w:cs="Arial"/>
          <w:color w:val="000000" w:themeColor="text1"/>
          <w:lang w:val="en-US"/>
        </w:rPr>
        <w:t>arylesterase</w:t>
      </w:r>
      <w:proofErr w:type="spellEnd"/>
      <w:r w:rsidRPr="00004507">
        <w:rPr>
          <w:rFonts w:ascii="Arial" w:hAnsi="Arial" w:cs="Arial"/>
          <w:color w:val="000000" w:themeColor="text1"/>
          <w:lang w:val="en-US"/>
        </w:rPr>
        <w:t xml:space="preserve">/paraoxonase activities: selective action of human paraoxonase </w:t>
      </w:r>
      <w:proofErr w:type="spellStart"/>
      <w:r w:rsidRPr="00004507">
        <w:rPr>
          <w:rFonts w:ascii="Arial" w:hAnsi="Arial" w:cs="Arial"/>
          <w:color w:val="000000" w:themeColor="text1"/>
          <w:lang w:val="en-US"/>
        </w:rPr>
        <w:t>alloenzymes</w:t>
      </w:r>
      <w:proofErr w:type="spellEnd"/>
      <w:r w:rsidRPr="00004507">
        <w:rPr>
          <w:rFonts w:ascii="Arial" w:hAnsi="Arial" w:cs="Arial"/>
          <w:color w:val="000000" w:themeColor="text1"/>
          <w:lang w:val="en-US"/>
        </w:rPr>
        <w:t xml:space="preserve"> Q and R. </w:t>
      </w:r>
      <w:proofErr w:type="spellStart"/>
      <w:r w:rsidRPr="00004507">
        <w:rPr>
          <w:rFonts w:ascii="Arial" w:hAnsi="Arial" w:cs="Arial"/>
          <w:color w:val="000000" w:themeColor="text1"/>
          <w:lang w:val="en-US"/>
        </w:rPr>
        <w:t>Arterioscler</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Thromb</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Vasc</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Biol</w:t>
      </w:r>
      <w:proofErr w:type="spellEnd"/>
      <w:r w:rsidRPr="00004507">
        <w:rPr>
          <w:rFonts w:ascii="Arial" w:hAnsi="Arial" w:cs="Arial"/>
          <w:color w:val="000000" w:themeColor="text1"/>
          <w:lang w:val="en-US"/>
        </w:rPr>
        <w:t xml:space="preserve"> 10:1617-24.</w:t>
      </w:r>
    </w:p>
    <w:p w14:paraId="40911C7E" w14:textId="55A8ACCD"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lang w:val="en-US"/>
        </w:rPr>
      </w:pPr>
      <w:r w:rsidRPr="00004507">
        <w:rPr>
          <w:rFonts w:ascii="Arial" w:hAnsi="Arial" w:cs="Arial"/>
          <w:shd w:val="clear" w:color="auto" w:fill="FFFFFF"/>
          <w:lang w:val="en-US"/>
        </w:rPr>
        <w:t>https://doi.org/10.1161/01.ATV.18.10.1617</w:t>
      </w:r>
    </w:p>
    <w:p w14:paraId="19FEED3C"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Zech</w:t>
      </w:r>
      <w:proofErr w:type="spellEnd"/>
      <w:r w:rsidRPr="00004507">
        <w:rPr>
          <w:rFonts w:ascii="Arial" w:hAnsi="Arial" w:cs="Arial"/>
          <w:color w:val="000000" w:themeColor="text1"/>
          <w:lang w:val="en-US"/>
        </w:rPr>
        <w:t xml:space="preserve"> R, </w:t>
      </w:r>
      <w:proofErr w:type="spellStart"/>
      <w:r w:rsidRPr="00004507">
        <w:rPr>
          <w:rFonts w:ascii="Arial" w:hAnsi="Arial" w:cs="Arial"/>
          <w:color w:val="000000" w:themeColor="text1"/>
          <w:lang w:val="en-US"/>
        </w:rPr>
        <w:t>Zurcher</w:t>
      </w:r>
      <w:proofErr w:type="spellEnd"/>
      <w:r w:rsidRPr="00004507">
        <w:rPr>
          <w:rFonts w:ascii="Arial" w:hAnsi="Arial" w:cs="Arial"/>
          <w:color w:val="000000" w:themeColor="text1"/>
          <w:lang w:val="en-US"/>
        </w:rPr>
        <w:t xml:space="preserve"> K (1974) Organophosphate splitting serum enzymes in different mammals. </w:t>
      </w:r>
      <w:proofErr w:type="gramStart"/>
      <w:r w:rsidRPr="00004507">
        <w:rPr>
          <w:rFonts w:ascii="Arial" w:hAnsi="Arial" w:cs="Arial"/>
          <w:iCs/>
          <w:color w:val="000000" w:themeColor="text1"/>
          <w:lang w:val="en-US"/>
        </w:rPr>
        <w:t>Comp</w:t>
      </w:r>
      <w:proofErr w:type="gramEnd"/>
      <w:r w:rsidRPr="00004507">
        <w:rPr>
          <w:rFonts w:ascii="Arial" w:hAnsi="Arial" w:cs="Arial"/>
          <w:iCs/>
          <w:color w:val="000000" w:themeColor="text1"/>
          <w:lang w:val="en-US"/>
        </w:rPr>
        <w:t xml:space="preserve"> </w:t>
      </w:r>
      <w:proofErr w:type="spellStart"/>
      <w:r w:rsidRPr="00004507">
        <w:rPr>
          <w:rFonts w:ascii="Arial" w:hAnsi="Arial" w:cs="Arial"/>
          <w:iCs/>
          <w:color w:val="000000" w:themeColor="text1"/>
          <w:lang w:val="en-US"/>
        </w:rPr>
        <w:t>Biochem</w:t>
      </w:r>
      <w:proofErr w:type="spellEnd"/>
      <w:r w:rsidRPr="00004507">
        <w:rPr>
          <w:rFonts w:ascii="Arial" w:hAnsi="Arial" w:cs="Arial"/>
          <w:iCs/>
          <w:color w:val="000000" w:themeColor="text1"/>
          <w:lang w:val="en-US"/>
        </w:rPr>
        <w:t xml:space="preserve"> </w:t>
      </w:r>
      <w:proofErr w:type="spellStart"/>
      <w:r w:rsidRPr="00004507">
        <w:rPr>
          <w:rFonts w:ascii="Arial" w:hAnsi="Arial" w:cs="Arial"/>
          <w:iCs/>
          <w:color w:val="000000" w:themeColor="text1"/>
          <w:lang w:val="en-US"/>
        </w:rPr>
        <w:t>Physiol</w:t>
      </w:r>
      <w:proofErr w:type="spellEnd"/>
      <w:r w:rsidRPr="00004507">
        <w:rPr>
          <w:rFonts w:ascii="Arial" w:hAnsi="Arial" w:cs="Arial"/>
          <w:color w:val="000000" w:themeColor="text1"/>
          <w:lang w:val="en-US"/>
        </w:rPr>
        <w:t xml:space="preserve"> 48:427-433. </w:t>
      </w:r>
    </w:p>
    <w:p w14:paraId="63DFDA01"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Playfer</w:t>
      </w:r>
      <w:proofErr w:type="spellEnd"/>
      <w:r w:rsidRPr="00004507">
        <w:rPr>
          <w:rFonts w:ascii="Arial" w:hAnsi="Arial" w:cs="Arial"/>
          <w:color w:val="000000" w:themeColor="text1"/>
          <w:lang w:val="en-US"/>
        </w:rPr>
        <w:t xml:space="preserve"> JR, </w:t>
      </w:r>
      <w:proofErr w:type="spellStart"/>
      <w:r w:rsidRPr="00004507">
        <w:rPr>
          <w:rFonts w:ascii="Arial" w:hAnsi="Arial" w:cs="Arial"/>
          <w:color w:val="000000" w:themeColor="text1"/>
          <w:lang w:val="en-US"/>
        </w:rPr>
        <w:t>Eze</w:t>
      </w:r>
      <w:proofErr w:type="spellEnd"/>
      <w:r w:rsidRPr="00004507">
        <w:rPr>
          <w:rFonts w:ascii="Arial" w:hAnsi="Arial" w:cs="Arial"/>
          <w:color w:val="000000" w:themeColor="text1"/>
          <w:lang w:val="en-US"/>
        </w:rPr>
        <w:t xml:space="preserve"> LC, </w:t>
      </w:r>
      <w:proofErr w:type="spellStart"/>
      <w:r w:rsidRPr="00004507">
        <w:rPr>
          <w:rFonts w:ascii="Arial" w:hAnsi="Arial" w:cs="Arial"/>
          <w:color w:val="000000" w:themeColor="text1"/>
          <w:lang w:val="en-US"/>
        </w:rPr>
        <w:t>Bullen</w:t>
      </w:r>
      <w:proofErr w:type="spellEnd"/>
      <w:r w:rsidRPr="00004507">
        <w:rPr>
          <w:rFonts w:ascii="Arial" w:hAnsi="Arial" w:cs="Arial"/>
          <w:color w:val="000000" w:themeColor="text1"/>
          <w:lang w:val="en-US"/>
        </w:rPr>
        <w:t xml:space="preserve"> MF, Evans DA (1976) Genetic polymorphism and interethnic variability of plasma paraoxonase activity. J Med Genet 13:337-342.</w:t>
      </w:r>
    </w:p>
    <w:p w14:paraId="1DBB55F2"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 xml:space="preserve">Furlong CE, Richter RJ, Seidel SL, </w:t>
      </w:r>
      <w:proofErr w:type="spellStart"/>
      <w:r w:rsidRPr="00004507">
        <w:rPr>
          <w:rFonts w:ascii="Arial" w:hAnsi="Arial" w:cs="Arial"/>
          <w:color w:val="000000" w:themeColor="text1"/>
          <w:lang w:val="en-US"/>
        </w:rPr>
        <w:t>Motulsky</w:t>
      </w:r>
      <w:proofErr w:type="spellEnd"/>
      <w:r w:rsidRPr="00004507">
        <w:rPr>
          <w:rFonts w:ascii="Arial" w:hAnsi="Arial" w:cs="Arial"/>
          <w:color w:val="000000" w:themeColor="text1"/>
          <w:lang w:val="en-US"/>
        </w:rPr>
        <w:t xml:space="preserve"> AG (1988) Role of genetic polymorphism of human plasma paraoxonase/</w:t>
      </w:r>
      <w:proofErr w:type="spellStart"/>
      <w:r w:rsidRPr="00004507">
        <w:rPr>
          <w:rFonts w:ascii="Arial" w:hAnsi="Arial" w:cs="Arial"/>
          <w:color w:val="000000" w:themeColor="text1"/>
          <w:lang w:val="en-US"/>
        </w:rPr>
        <w:t>arylesterase</w:t>
      </w:r>
      <w:proofErr w:type="spellEnd"/>
      <w:r w:rsidRPr="00004507">
        <w:rPr>
          <w:rFonts w:ascii="Arial" w:hAnsi="Arial" w:cs="Arial"/>
          <w:color w:val="000000" w:themeColor="text1"/>
          <w:lang w:val="en-US"/>
        </w:rPr>
        <w:t xml:space="preserve"> in hydrolysis of the insecticide metabolites </w:t>
      </w:r>
      <w:proofErr w:type="spellStart"/>
      <w:r w:rsidRPr="00004507">
        <w:rPr>
          <w:rFonts w:ascii="Arial" w:hAnsi="Arial" w:cs="Arial"/>
          <w:color w:val="000000" w:themeColor="text1"/>
          <w:lang w:val="en-US"/>
        </w:rPr>
        <w:t>chlorpyrifos</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oxon</w:t>
      </w:r>
      <w:proofErr w:type="spellEnd"/>
      <w:r w:rsidRPr="00004507">
        <w:rPr>
          <w:rFonts w:ascii="Arial" w:hAnsi="Arial" w:cs="Arial"/>
          <w:color w:val="000000" w:themeColor="text1"/>
          <w:lang w:val="en-US"/>
        </w:rPr>
        <w:t xml:space="preserve"> and </w:t>
      </w:r>
      <w:proofErr w:type="spellStart"/>
      <w:r w:rsidRPr="00004507">
        <w:rPr>
          <w:rFonts w:ascii="Arial" w:hAnsi="Arial" w:cs="Arial"/>
          <w:color w:val="000000" w:themeColor="text1"/>
          <w:lang w:val="en-US"/>
        </w:rPr>
        <w:t>paraoxon</w:t>
      </w:r>
      <w:proofErr w:type="spellEnd"/>
      <w:r w:rsidRPr="00004507">
        <w:rPr>
          <w:rFonts w:ascii="Arial" w:hAnsi="Arial" w:cs="Arial"/>
          <w:color w:val="000000" w:themeColor="text1"/>
          <w:lang w:val="en-US"/>
        </w:rPr>
        <w:t xml:space="preserve">. </w:t>
      </w:r>
      <w:proofErr w:type="gramStart"/>
      <w:r w:rsidRPr="00004507">
        <w:rPr>
          <w:rFonts w:ascii="Arial" w:hAnsi="Arial" w:cs="Arial"/>
          <w:color w:val="000000" w:themeColor="text1"/>
          <w:lang w:val="en-US"/>
        </w:rPr>
        <w:t>Am</w:t>
      </w:r>
      <w:proofErr w:type="gramEnd"/>
      <w:r w:rsidRPr="00004507">
        <w:rPr>
          <w:rFonts w:ascii="Arial" w:hAnsi="Arial" w:cs="Arial"/>
          <w:color w:val="000000" w:themeColor="text1"/>
          <w:lang w:val="en-US"/>
        </w:rPr>
        <w:t xml:space="preserve"> J Hum Genet 43:230-238.</w:t>
      </w:r>
    </w:p>
    <w:p w14:paraId="36DCE8E0"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Eckerson</w:t>
      </w:r>
      <w:proofErr w:type="spellEnd"/>
      <w:r w:rsidRPr="00004507">
        <w:rPr>
          <w:rFonts w:ascii="Arial" w:hAnsi="Arial" w:cs="Arial"/>
          <w:color w:val="000000" w:themeColor="text1"/>
          <w:lang w:val="en-US"/>
        </w:rPr>
        <w:t xml:space="preserve"> HW, White CM, La Du BN (1983) </w:t>
      </w:r>
      <w:proofErr w:type="gramStart"/>
      <w:r w:rsidRPr="00004507">
        <w:rPr>
          <w:rFonts w:ascii="Arial" w:hAnsi="Arial" w:cs="Arial"/>
          <w:color w:val="000000" w:themeColor="text1"/>
          <w:lang w:val="en-US"/>
        </w:rPr>
        <w:t>The</w:t>
      </w:r>
      <w:proofErr w:type="gramEnd"/>
      <w:r w:rsidRPr="00004507">
        <w:rPr>
          <w:rFonts w:ascii="Arial" w:hAnsi="Arial" w:cs="Arial"/>
          <w:color w:val="000000" w:themeColor="text1"/>
          <w:lang w:val="en-US"/>
        </w:rPr>
        <w:t xml:space="preserve"> human serum paraoxonase/</w:t>
      </w:r>
      <w:proofErr w:type="spellStart"/>
      <w:r w:rsidRPr="00004507">
        <w:rPr>
          <w:rFonts w:ascii="Arial" w:hAnsi="Arial" w:cs="Arial"/>
          <w:color w:val="000000" w:themeColor="text1"/>
          <w:lang w:val="en-US"/>
        </w:rPr>
        <w:t>arylesterase</w:t>
      </w:r>
      <w:proofErr w:type="spellEnd"/>
      <w:r w:rsidRPr="00004507">
        <w:rPr>
          <w:rFonts w:ascii="Arial" w:hAnsi="Arial" w:cs="Arial"/>
          <w:color w:val="000000" w:themeColor="text1"/>
          <w:lang w:val="en-US"/>
        </w:rPr>
        <w:t xml:space="preserve"> polymorphism. </w:t>
      </w:r>
      <w:proofErr w:type="gramStart"/>
      <w:r w:rsidRPr="00004507">
        <w:rPr>
          <w:rFonts w:ascii="Arial" w:hAnsi="Arial" w:cs="Arial"/>
          <w:color w:val="000000" w:themeColor="text1"/>
          <w:lang w:val="en-US"/>
        </w:rPr>
        <w:t>Am</w:t>
      </w:r>
      <w:proofErr w:type="gramEnd"/>
      <w:r w:rsidRPr="00004507">
        <w:rPr>
          <w:rFonts w:ascii="Arial" w:hAnsi="Arial" w:cs="Arial"/>
          <w:color w:val="000000" w:themeColor="text1"/>
          <w:lang w:val="en-US"/>
        </w:rPr>
        <w:t xml:space="preserve"> J Hum Genet 35:1126-38. </w:t>
      </w:r>
    </w:p>
    <w:p w14:paraId="53DEA98C"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Aviram</w:t>
      </w:r>
      <w:proofErr w:type="spellEnd"/>
      <w:r w:rsidRPr="00004507">
        <w:rPr>
          <w:rFonts w:ascii="Arial" w:hAnsi="Arial" w:cs="Arial"/>
          <w:color w:val="000000" w:themeColor="text1"/>
          <w:lang w:val="en-US"/>
        </w:rPr>
        <w:t xml:space="preserve"> M (2003) Dietary antioxidants stimulate the expression of </w:t>
      </w:r>
      <w:proofErr w:type="spellStart"/>
      <w:r w:rsidRPr="00004507">
        <w:rPr>
          <w:rFonts w:ascii="Arial" w:hAnsi="Arial" w:cs="Arial"/>
          <w:color w:val="000000" w:themeColor="text1"/>
          <w:lang w:val="en-US"/>
        </w:rPr>
        <w:t>paraoxonases</w:t>
      </w:r>
      <w:proofErr w:type="spellEnd"/>
      <w:r w:rsidRPr="00004507">
        <w:rPr>
          <w:rFonts w:ascii="Arial" w:hAnsi="Arial" w:cs="Arial"/>
          <w:color w:val="000000" w:themeColor="text1"/>
          <w:lang w:val="en-US"/>
        </w:rPr>
        <w:t xml:space="preserve"> which provides protection against atherosclerosis development. </w:t>
      </w:r>
      <w:proofErr w:type="spellStart"/>
      <w:r w:rsidRPr="00004507">
        <w:rPr>
          <w:rFonts w:ascii="Arial" w:hAnsi="Arial" w:cs="Arial"/>
          <w:color w:val="000000" w:themeColor="text1"/>
          <w:lang w:val="en-US"/>
        </w:rPr>
        <w:t>Curr</w:t>
      </w:r>
      <w:proofErr w:type="spellEnd"/>
      <w:r w:rsidRPr="00004507">
        <w:rPr>
          <w:rFonts w:ascii="Arial" w:hAnsi="Arial" w:cs="Arial"/>
          <w:color w:val="000000" w:themeColor="text1"/>
          <w:lang w:val="en-US"/>
        </w:rPr>
        <w:t xml:space="preserve"> Topics </w:t>
      </w:r>
      <w:proofErr w:type="spellStart"/>
      <w:r w:rsidRPr="00004507">
        <w:rPr>
          <w:rFonts w:ascii="Arial" w:hAnsi="Arial" w:cs="Arial"/>
          <w:color w:val="000000" w:themeColor="text1"/>
          <w:lang w:val="en-US"/>
        </w:rPr>
        <w:t>Nutraceutical</w:t>
      </w:r>
      <w:proofErr w:type="spellEnd"/>
      <w:r w:rsidRPr="00004507">
        <w:rPr>
          <w:rFonts w:ascii="Arial" w:hAnsi="Arial" w:cs="Arial"/>
          <w:color w:val="000000" w:themeColor="text1"/>
          <w:lang w:val="en-US"/>
        </w:rPr>
        <w:t xml:space="preserve"> Res 3:161-9.</w:t>
      </w:r>
    </w:p>
    <w:p w14:paraId="201B4756"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Brophy</w:t>
      </w:r>
      <w:proofErr w:type="spellEnd"/>
      <w:r w:rsidRPr="00004507">
        <w:rPr>
          <w:rFonts w:ascii="Arial" w:hAnsi="Arial" w:cs="Arial"/>
          <w:color w:val="000000" w:themeColor="text1"/>
          <w:lang w:val="en-US"/>
        </w:rPr>
        <w:t xml:space="preserve"> VH, </w:t>
      </w:r>
      <w:proofErr w:type="spellStart"/>
      <w:r w:rsidRPr="00004507">
        <w:rPr>
          <w:rFonts w:ascii="Arial" w:hAnsi="Arial" w:cs="Arial"/>
          <w:color w:val="000000" w:themeColor="text1"/>
          <w:lang w:val="en-US"/>
        </w:rPr>
        <w:t>Jarvik</w:t>
      </w:r>
      <w:proofErr w:type="spellEnd"/>
      <w:r w:rsidRPr="00004507">
        <w:rPr>
          <w:rFonts w:ascii="Arial" w:hAnsi="Arial" w:cs="Arial"/>
          <w:color w:val="000000" w:themeColor="text1"/>
          <w:lang w:val="en-US"/>
        </w:rPr>
        <w:t xml:space="preserve"> GP, Furlong CE (2002) PON1 polymorphisms. In: Costa LG, Furlong CE (</w:t>
      </w:r>
      <w:proofErr w:type="spellStart"/>
      <w:proofErr w:type="gramStart"/>
      <w:r w:rsidRPr="00004507">
        <w:rPr>
          <w:rFonts w:ascii="Arial" w:hAnsi="Arial" w:cs="Arial"/>
          <w:color w:val="000000" w:themeColor="text1"/>
          <w:lang w:val="en-US"/>
        </w:rPr>
        <w:t>eds</w:t>
      </w:r>
      <w:proofErr w:type="spellEnd"/>
      <w:proofErr w:type="gramEnd"/>
      <w:r w:rsidRPr="00004507">
        <w:rPr>
          <w:rFonts w:ascii="Arial" w:hAnsi="Arial" w:cs="Arial"/>
          <w:color w:val="000000" w:themeColor="text1"/>
          <w:lang w:val="en-US"/>
        </w:rPr>
        <w:t xml:space="preserve">) </w:t>
      </w:r>
      <w:r w:rsidRPr="00004507">
        <w:rPr>
          <w:rFonts w:ascii="Arial" w:hAnsi="Arial" w:cs="Arial"/>
          <w:iCs/>
          <w:color w:val="000000" w:themeColor="text1"/>
          <w:lang w:val="en-US"/>
        </w:rPr>
        <w:t xml:space="preserve">Paraoxonase </w:t>
      </w:r>
      <w:r w:rsidRPr="00004507">
        <w:rPr>
          <w:rFonts w:ascii="Arial" w:hAnsi="Arial" w:cs="Arial"/>
          <w:color w:val="000000" w:themeColor="text1"/>
          <w:lang w:val="en-US"/>
        </w:rPr>
        <w:t>(</w:t>
      </w:r>
      <w:r w:rsidRPr="00004507">
        <w:rPr>
          <w:rFonts w:ascii="Arial" w:hAnsi="Arial" w:cs="Arial"/>
          <w:iCs/>
          <w:color w:val="000000" w:themeColor="text1"/>
          <w:lang w:val="en-US"/>
        </w:rPr>
        <w:t xml:space="preserve">PON1) in Health and Disease: Basic and Clinical </w:t>
      </w:r>
      <w:r w:rsidRPr="00004507">
        <w:rPr>
          <w:rFonts w:ascii="Arial" w:hAnsi="Arial" w:cs="Arial"/>
          <w:iCs/>
          <w:color w:val="000000" w:themeColor="text1"/>
          <w:lang w:val="en-US"/>
        </w:rPr>
        <w:lastRenderedPageBreak/>
        <w:t>Aspects.</w:t>
      </w:r>
      <w:r w:rsidRPr="00004507">
        <w:rPr>
          <w:rFonts w:ascii="Arial" w:hAnsi="Arial" w:cs="Arial"/>
          <w:color w:val="000000" w:themeColor="text1"/>
          <w:lang w:val="en-US"/>
        </w:rPr>
        <w:t xml:space="preserve"> Norwell, MA: Kluwer </w:t>
      </w:r>
      <w:proofErr w:type="spellStart"/>
      <w:r w:rsidRPr="00004507">
        <w:rPr>
          <w:rFonts w:ascii="Arial" w:hAnsi="Arial" w:cs="Arial"/>
          <w:color w:val="000000" w:themeColor="text1"/>
          <w:lang w:val="en-US"/>
        </w:rPr>
        <w:t>Acad</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pp</w:t>
      </w:r>
      <w:proofErr w:type="spellEnd"/>
      <w:r w:rsidRPr="00004507">
        <w:rPr>
          <w:rFonts w:ascii="Arial" w:hAnsi="Arial" w:cs="Arial"/>
          <w:color w:val="000000" w:themeColor="text1"/>
          <w:lang w:val="en-US"/>
        </w:rPr>
        <w:t xml:space="preserve"> 53-77.</w:t>
      </w:r>
    </w:p>
    <w:p w14:paraId="518C8229"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hAnsi="Arial" w:cs="Arial"/>
          <w:color w:val="000000" w:themeColor="text1"/>
          <w:lang w:val="en-US"/>
        </w:rPr>
        <w:t>Hioki</w:t>
      </w:r>
      <w:proofErr w:type="spellEnd"/>
      <w:r w:rsidRPr="00004507">
        <w:rPr>
          <w:rFonts w:ascii="Arial" w:hAnsi="Arial" w:cs="Arial"/>
          <w:color w:val="000000" w:themeColor="text1"/>
          <w:lang w:val="en-US"/>
        </w:rPr>
        <w:t xml:space="preserve"> T, </w:t>
      </w:r>
      <w:proofErr w:type="spellStart"/>
      <w:r w:rsidRPr="00004507">
        <w:rPr>
          <w:rFonts w:ascii="Arial" w:hAnsi="Arial" w:cs="Arial"/>
          <w:color w:val="000000" w:themeColor="text1"/>
          <w:lang w:val="en-US"/>
        </w:rPr>
        <w:t>Fukami</w:t>
      </w:r>
      <w:proofErr w:type="spellEnd"/>
      <w:r w:rsidRPr="00004507">
        <w:rPr>
          <w:rFonts w:ascii="Arial" w:hAnsi="Arial" w:cs="Arial"/>
          <w:color w:val="000000" w:themeColor="text1"/>
          <w:lang w:val="en-US"/>
        </w:rPr>
        <w:t xml:space="preserve"> T, Nakajima M, Yokoi T (2011) Human paraoxonase 1 is the enzyme responsible for </w:t>
      </w:r>
      <w:proofErr w:type="spellStart"/>
      <w:r w:rsidRPr="00004507">
        <w:rPr>
          <w:rFonts w:ascii="Arial" w:hAnsi="Arial" w:cs="Arial"/>
          <w:color w:val="000000" w:themeColor="text1"/>
          <w:lang w:val="en-US"/>
        </w:rPr>
        <w:t>pilocarpine</w:t>
      </w:r>
      <w:proofErr w:type="spellEnd"/>
      <w:r w:rsidRPr="00004507">
        <w:rPr>
          <w:rFonts w:ascii="Arial" w:hAnsi="Arial" w:cs="Arial"/>
          <w:color w:val="000000" w:themeColor="text1"/>
          <w:lang w:val="en-US"/>
        </w:rPr>
        <w:t xml:space="preserve"> hydrolysis. Drug </w:t>
      </w:r>
      <w:proofErr w:type="spellStart"/>
      <w:r w:rsidRPr="00004507">
        <w:rPr>
          <w:rFonts w:ascii="Arial" w:hAnsi="Arial" w:cs="Arial"/>
          <w:color w:val="000000" w:themeColor="text1"/>
          <w:lang w:val="en-US"/>
        </w:rPr>
        <w:t>Metab</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Dispos</w:t>
      </w:r>
      <w:proofErr w:type="spellEnd"/>
      <w:r w:rsidRPr="00004507">
        <w:rPr>
          <w:rFonts w:ascii="Arial" w:hAnsi="Arial" w:cs="Arial"/>
          <w:color w:val="000000" w:themeColor="text1"/>
          <w:lang w:val="en-US"/>
        </w:rPr>
        <w:t xml:space="preserve"> 39(8):1345-52. </w:t>
      </w:r>
    </w:p>
    <w:p w14:paraId="166A4985"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https://doi.org/10.1124/dmd.111.038141</w:t>
      </w:r>
    </w:p>
    <w:p w14:paraId="06933901"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Zhou G, Liu B (2010) Single nucleotide polymorphisms of metabolic syndrome-related genes in primary open angle glaucoma. </w:t>
      </w:r>
      <w:proofErr w:type="spellStart"/>
      <w:r w:rsidRPr="00004507">
        <w:rPr>
          <w:rFonts w:ascii="Arial" w:hAnsi="Arial" w:cs="Arial"/>
          <w:iCs/>
          <w:color w:val="000000" w:themeColor="text1"/>
          <w:shd w:val="clear" w:color="auto" w:fill="FFFFFF"/>
          <w:lang w:val="en-US"/>
        </w:rPr>
        <w:t>Int</w:t>
      </w:r>
      <w:proofErr w:type="spellEnd"/>
      <w:r w:rsidRPr="00004507">
        <w:rPr>
          <w:rFonts w:ascii="Arial" w:hAnsi="Arial" w:cs="Arial"/>
          <w:iCs/>
          <w:color w:val="000000" w:themeColor="text1"/>
          <w:shd w:val="clear" w:color="auto" w:fill="FFFFFF"/>
          <w:lang w:val="en-US"/>
        </w:rPr>
        <w:t xml:space="preserve"> J </w:t>
      </w:r>
      <w:proofErr w:type="spellStart"/>
      <w:r w:rsidRPr="00004507">
        <w:rPr>
          <w:rFonts w:ascii="Arial" w:hAnsi="Arial" w:cs="Arial"/>
          <w:iCs/>
          <w:color w:val="000000" w:themeColor="text1"/>
          <w:shd w:val="clear" w:color="auto" w:fill="FFFFFF"/>
          <w:lang w:val="en-US"/>
        </w:rPr>
        <w:t>Ophthalmol</w:t>
      </w:r>
      <w:proofErr w:type="spellEnd"/>
      <w:r w:rsidRPr="00004507">
        <w:rPr>
          <w:rFonts w:ascii="Arial" w:hAnsi="Arial" w:cs="Arial"/>
          <w:iCs/>
          <w:color w:val="000000" w:themeColor="text1"/>
          <w:shd w:val="clear" w:color="auto" w:fill="FFFFFF"/>
          <w:lang w:val="en-US"/>
        </w:rPr>
        <w:t xml:space="preserve"> </w:t>
      </w:r>
      <w:r w:rsidRPr="00004507">
        <w:rPr>
          <w:rFonts w:ascii="Arial" w:hAnsi="Arial" w:cs="Arial"/>
          <w:color w:val="000000" w:themeColor="text1"/>
          <w:shd w:val="clear" w:color="auto" w:fill="FFFFFF"/>
          <w:lang w:val="en-US"/>
        </w:rPr>
        <w:t xml:space="preserve">3(1):36-42. </w:t>
      </w:r>
    </w:p>
    <w:p w14:paraId="58FE8BFE"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shd w:val="clear" w:color="auto" w:fill="FFFFFF"/>
          <w:lang w:val="en-US"/>
        </w:rPr>
        <w:t>https://doi.org/10.3980/j.issn.2222-3959.2010.01.09</w:t>
      </w:r>
    </w:p>
    <w:p w14:paraId="384D64B1"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hAnsi="Arial" w:cs="Arial"/>
          <w:color w:val="000000" w:themeColor="text1"/>
          <w:lang w:val="en-US"/>
        </w:rPr>
        <w:t>Inagaki Y, </w:t>
      </w:r>
      <w:proofErr w:type="spellStart"/>
      <w:r w:rsidRPr="00004507">
        <w:rPr>
          <w:rFonts w:ascii="Arial" w:hAnsi="Arial" w:cs="Arial"/>
          <w:color w:val="000000" w:themeColor="text1"/>
          <w:lang w:val="en-US"/>
        </w:rPr>
        <w:t>Mashima</w:t>
      </w:r>
      <w:proofErr w:type="spellEnd"/>
      <w:r w:rsidRPr="00004507">
        <w:rPr>
          <w:rFonts w:ascii="Arial" w:hAnsi="Arial" w:cs="Arial"/>
          <w:color w:val="000000" w:themeColor="text1"/>
          <w:lang w:val="en-US"/>
        </w:rPr>
        <w:t xml:space="preserve"> Y, </w:t>
      </w:r>
      <w:proofErr w:type="spellStart"/>
      <w:r w:rsidRPr="00004507">
        <w:rPr>
          <w:rFonts w:ascii="Arial" w:hAnsi="Arial" w:cs="Arial"/>
          <w:color w:val="000000" w:themeColor="text1"/>
          <w:lang w:val="en-US"/>
        </w:rPr>
        <w:t>Funayama</w:t>
      </w:r>
      <w:proofErr w:type="spellEnd"/>
      <w:r w:rsidRPr="00004507">
        <w:rPr>
          <w:rFonts w:ascii="Arial" w:hAnsi="Arial" w:cs="Arial"/>
          <w:color w:val="000000" w:themeColor="text1"/>
          <w:lang w:val="en-US"/>
        </w:rPr>
        <w:t xml:space="preserve"> T, </w:t>
      </w:r>
      <w:proofErr w:type="spellStart"/>
      <w:r w:rsidRPr="00004507">
        <w:rPr>
          <w:rFonts w:ascii="Arial" w:hAnsi="Arial" w:cs="Arial"/>
          <w:color w:val="000000" w:themeColor="text1"/>
          <w:lang w:val="en-US"/>
        </w:rPr>
        <w:t>Ohtake</w:t>
      </w:r>
      <w:proofErr w:type="spellEnd"/>
      <w:r w:rsidRPr="00004507">
        <w:rPr>
          <w:rFonts w:ascii="Arial" w:hAnsi="Arial" w:cs="Arial"/>
          <w:color w:val="000000" w:themeColor="text1"/>
          <w:lang w:val="en-US"/>
        </w:rPr>
        <w:t xml:space="preserve"> Y, Fuse N, Yasuda N, Fukuchi T, Murakami A, </w:t>
      </w:r>
      <w:proofErr w:type="spellStart"/>
      <w:r w:rsidRPr="00004507">
        <w:rPr>
          <w:rFonts w:ascii="Arial" w:hAnsi="Arial" w:cs="Arial"/>
          <w:color w:val="000000" w:themeColor="text1"/>
          <w:lang w:val="en-US"/>
        </w:rPr>
        <w:t>Hotta</w:t>
      </w:r>
      <w:proofErr w:type="spellEnd"/>
      <w:r w:rsidRPr="00004507">
        <w:rPr>
          <w:rFonts w:ascii="Arial" w:hAnsi="Arial" w:cs="Arial"/>
          <w:color w:val="000000" w:themeColor="text1"/>
          <w:lang w:val="en-US"/>
        </w:rPr>
        <w:t xml:space="preserve"> Y (2006) Paraoxonase 1 gene polymorphisms influence clinical features of open-angle glaucoma. </w:t>
      </w:r>
      <w:proofErr w:type="spellStart"/>
      <w:r w:rsidRPr="00004507">
        <w:rPr>
          <w:rFonts w:ascii="Arial" w:hAnsi="Arial" w:cs="Arial"/>
          <w:color w:val="000000" w:themeColor="text1"/>
          <w:lang w:val="en-US"/>
        </w:rPr>
        <w:t>Graefes</w:t>
      </w:r>
      <w:proofErr w:type="spellEnd"/>
      <w:r w:rsidRPr="00004507">
        <w:rPr>
          <w:rFonts w:ascii="Arial" w:hAnsi="Arial" w:cs="Arial"/>
          <w:color w:val="000000" w:themeColor="text1"/>
          <w:lang w:val="en-US"/>
        </w:rPr>
        <w:t xml:space="preserve"> Arch </w:t>
      </w:r>
      <w:proofErr w:type="spellStart"/>
      <w:r w:rsidRPr="00004507">
        <w:rPr>
          <w:rFonts w:ascii="Arial" w:hAnsi="Arial" w:cs="Arial"/>
          <w:color w:val="000000" w:themeColor="text1"/>
          <w:lang w:val="en-US"/>
        </w:rPr>
        <w:t>Clin</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Exp</w:t>
      </w:r>
      <w:proofErr w:type="spellEnd"/>
      <w:r w:rsidRPr="00004507">
        <w:rPr>
          <w:rFonts w:ascii="Arial" w:hAnsi="Arial" w:cs="Arial"/>
          <w:color w:val="000000" w:themeColor="text1"/>
          <w:lang w:val="en-US"/>
        </w:rPr>
        <w:t xml:space="preserve"> </w:t>
      </w:r>
      <w:proofErr w:type="spellStart"/>
      <w:r w:rsidRPr="00004507">
        <w:rPr>
          <w:rFonts w:ascii="Arial" w:hAnsi="Arial" w:cs="Arial"/>
          <w:color w:val="000000" w:themeColor="text1"/>
          <w:lang w:val="en-US"/>
        </w:rPr>
        <w:t>Ophthalmol</w:t>
      </w:r>
      <w:proofErr w:type="spellEnd"/>
      <w:r w:rsidRPr="00004507">
        <w:rPr>
          <w:rFonts w:ascii="Arial" w:hAnsi="Arial" w:cs="Arial"/>
          <w:color w:val="000000" w:themeColor="text1"/>
          <w:lang w:val="en-US"/>
        </w:rPr>
        <w:t xml:space="preserve"> 244(8):984-90. </w:t>
      </w:r>
      <w:r w:rsidRPr="00004507">
        <w:rPr>
          <w:rFonts w:ascii="Arial" w:hAnsi="Arial" w:cs="Arial"/>
          <w:color w:val="000000" w:themeColor="text1"/>
          <w:spacing w:val="4"/>
          <w:shd w:val="clear" w:color="auto" w:fill="FCFCFC"/>
          <w:lang w:val="en-US"/>
        </w:rPr>
        <w:t>https://doi.org/10.1007/s00417-005-0200-7</w:t>
      </w:r>
    </w:p>
    <w:p w14:paraId="0C1CB6D7"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proofErr w:type="spellStart"/>
      <w:r w:rsidRPr="00004507">
        <w:rPr>
          <w:rFonts w:ascii="Arial" w:eastAsia="Times New Roman" w:hAnsi="Arial" w:cs="Arial"/>
          <w:iCs/>
          <w:color w:val="000000" w:themeColor="text1"/>
          <w:lang w:val="en-US" w:eastAsia="tr-TR"/>
        </w:rPr>
        <w:t>Schlötzer-Schrehardt</w:t>
      </w:r>
      <w:proofErr w:type="spellEnd"/>
      <w:r w:rsidRPr="00004507">
        <w:rPr>
          <w:rFonts w:ascii="Arial" w:eastAsia="Times New Roman" w:hAnsi="Arial" w:cs="Arial"/>
          <w:iCs/>
          <w:color w:val="000000" w:themeColor="text1"/>
          <w:lang w:val="en-US" w:eastAsia="tr-TR"/>
        </w:rPr>
        <w:t xml:space="preserve"> UM, </w:t>
      </w:r>
      <w:proofErr w:type="spellStart"/>
      <w:r w:rsidRPr="00004507">
        <w:rPr>
          <w:rFonts w:ascii="Arial" w:eastAsia="Times New Roman" w:hAnsi="Arial" w:cs="Arial"/>
          <w:iCs/>
          <w:color w:val="000000" w:themeColor="text1"/>
          <w:lang w:val="en-US" w:eastAsia="tr-TR"/>
        </w:rPr>
        <w:t>Koca</w:t>
      </w:r>
      <w:proofErr w:type="spellEnd"/>
      <w:r w:rsidRPr="00004507">
        <w:rPr>
          <w:rFonts w:ascii="Arial" w:eastAsia="Times New Roman" w:hAnsi="Arial" w:cs="Arial"/>
          <w:iCs/>
          <w:color w:val="000000" w:themeColor="text1"/>
          <w:lang w:val="en-US" w:eastAsia="tr-TR"/>
        </w:rPr>
        <w:t xml:space="preserve"> MR, </w:t>
      </w:r>
      <w:proofErr w:type="spellStart"/>
      <w:r w:rsidRPr="00004507">
        <w:rPr>
          <w:rFonts w:ascii="Arial" w:eastAsia="Times New Roman" w:hAnsi="Arial" w:cs="Arial"/>
          <w:iCs/>
          <w:color w:val="000000" w:themeColor="text1"/>
          <w:lang w:val="en-US" w:eastAsia="tr-TR"/>
        </w:rPr>
        <w:t>Naumann</w:t>
      </w:r>
      <w:proofErr w:type="spellEnd"/>
      <w:r w:rsidRPr="00004507">
        <w:rPr>
          <w:rFonts w:ascii="Arial" w:eastAsia="Times New Roman" w:hAnsi="Arial" w:cs="Arial"/>
          <w:iCs/>
          <w:color w:val="000000" w:themeColor="text1"/>
          <w:lang w:val="en-US" w:eastAsia="tr-TR"/>
        </w:rPr>
        <w:t xml:space="preserve"> GO, </w:t>
      </w:r>
      <w:proofErr w:type="spellStart"/>
      <w:r w:rsidRPr="00004507">
        <w:rPr>
          <w:rFonts w:ascii="Arial" w:eastAsia="Times New Roman" w:hAnsi="Arial" w:cs="Arial"/>
          <w:iCs/>
          <w:color w:val="000000" w:themeColor="text1"/>
          <w:lang w:val="en-US" w:eastAsia="tr-TR"/>
        </w:rPr>
        <w:t>Volkholz</w:t>
      </w:r>
      <w:proofErr w:type="spellEnd"/>
      <w:r w:rsidRPr="00004507">
        <w:rPr>
          <w:rFonts w:ascii="Arial" w:eastAsia="Times New Roman" w:hAnsi="Arial" w:cs="Arial"/>
          <w:iCs/>
          <w:color w:val="000000" w:themeColor="text1"/>
          <w:lang w:val="en-US" w:eastAsia="tr-TR"/>
        </w:rPr>
        <w:t xml:space="preserve"> H (1992) </w:t>
      </w:r>
      <w:r w:rsidRPr="00004507">
        <w:rPr>
          <w:rFonts w:ascii="Arial" w:eastAsia="Times New Roman" w:hAnsi="Arial" w:cs="Arial"/>
          <w:color w:val="000000" w:themeColor="text1"/>
          <w:shd w:val="clear" w:color="auto" w:fill="FFFFFF"/>
          <w:lang w:val="en-US" w:eastAsia="tr-TR"/>
        </w:rPr>
        <w:t xml:space="preserve">Pseudoexfoliation syndrome. Ocular manifestation of a systemic disorder? </w:t>
      </w:r>
      <w:r w:rsidRPr="00004507">
        <w:rPr>
          <w:rFonts w:ascii="Arial" w:eastAsia="Times New Roman" w:hAnsi="Arial" w:cs="Arial"/>
          <w:iCs/>
          <w:color w:val="000000" w:themeColor="text1"/>
          <w:lang w:val="en-US" w:eastAsia="tr-TR"/>
        </w:rPr>
        <w:t xml:space="preserve">Arch </w:t>
      </w:r>
      <w:proofErr w:type="spellStart"/>
      <w:r w:rsidRPr="00004507">
        <w:rPr>
          <w:rFonts w:ascii="Arial" w:eastAsia="Times New Roman" w:hAnsi="Arial" w:cs="Arial"/>
          <w:iCs/>
          <w:color w:val="000000" w:themeColor="text1"/>
          <w:lang w:val="en-US" w:eastAsia="tr-TR"/>
        </w:rPr>
        <w:t>Ophthalmol</w:t>
      </w:r>
      <w:proofErr w:type="spellEnd"/>
      <w:r w:rsidRPr="00004507">
        <w:rPr>
          <w:rFonts w:ascii="Arial" w:eastAsia="Times New Roman" w:hAnsi="Arial" w:cs="Arial"/>
          <w:iCs/>
          <w:color w:val="000000" w:themeColor="text1"/>
          <w:lang w:val="en-US" w:eastAsia="tr-TR"/>
        </w:rPr>
        <w:t xml:space="preserve"> 110(12):1752-6.</w:t>
      </w:r>
    </w:p>
    <w:p w14:paraId="449F1618"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hAnsi="Arial" w:cs="Arial"/>
          <w:color w:val="000000" w:themeColor="text1"/>
          <w:lang w:val="en-US"/>
        </w:rPr>
        <w:t>https://doi.org/10.1001/archopht.1992.01080240092038</w:t>
      </w:r>
    </w:p>
    <w:p w14:paraId="261F7535"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eastAsia="Times New Roman" w:hAnsi="Arial" w:cs="Arial"/>
          <w:iCs/>
          <w:color w:val="000000" w:themeColor="text1"/>
          <w:lang w:val="en-US" w:eastAsia="tr-TR"/>
        </w:rPr>
        <w:t xml:space="preserve">Mitchell P, Wang JJ, Smith W (1997) </w:t>
      </w:r>
      <w:r w:rsidRPr="00004507">
        <w:rPr>
          <w:rFonts w:ascii="Arial" w:eastAsia="Times New Roman" w:hAnsi="Arial" w:cs="Arial"/>
          <w:color w:val="000000" w:themeColor="text1"/>
          <w:shd w:val="clear" w:color="auto" w:fill="FFFFFF"/>
          <w:lang w:val="en-US" w:eastAsia="tr-TR"/>
        </w:rPr>
        <w:t xml:space="preserve">Association of pseudoexfoliation syndrome with increased vascular risk. </w:t>
      </w:r>
      <w:r w:rsidRPr="00004507">
        <w:rPr>
          <w:rFonts w:ascii="Arial" w:eastAsia="Times New Roman" w:hAnsi="Arial" w:cs="Arial"/>
          <w:iCs/>
          <w:color w:val="000000" w:themeColor="text1"/>
          <w:lang w:val="en-US" w:eastAsia="tr-TR"/>
        </w:rPr>
        <w:t xml:space="preserve">Am J </w:t>
      </w:r>
      <w:proofErr w:type="spellStart"/>
      <w:r w:rsidRPr="00004507">
        <w:rPr>
          <w:rFonts w:ascii="Arial" w:eastAsia="Times New Roman" w:hAnsi="Arial" w:cs="Arial"/>
          <w:iCs/>
          <w:color w:val="000000" w:themeColor="text1"/>
          <w:lang w:val="en-US" w:eastAsia="tr-TR"/>
        </w:rPr>
        <w:t>Ophthalmol</w:t>
      </w:r>
      <w:proofErr w:type="spellEnd"/>
      <w:r w:rsidRPr="00004507">
        <w:rPr>
          <w:rFonts w:ascii="Arial" w:eastAsia="Times New Roman" w:hAnsi="Arial" w:cs="Arial"/>
          <w:iCs/>
          <w:color w:val="000000" w:themeColor="text1"/>
          <w:lang w:val="en-US" w:eastAsia="tr-TR"/>
        </w:rPr>
        <w:t xml:space="preserve"> 124(5):685-</w:t>
      </w:r>
      <w:proofErr w:type="gramStart"/>
      <w:r w:rsidRPr="00004507">
        <w:rPr>
          <w:rFonts w:ascii="Arial" w:eastAsia="Times New Roman" w:hAnsi="Arial" w:cs="Arial"/>
          <w:iCs/>
          <w:color w:val="000000" w:themeColor="text1"/>
          <w:lang w:val="en-US" w:eastAsia="tr-TR"/>
        </w:rPr>
        <w:t>7.</w:t>
      </w:r>
      <w:proofErr w:type="gramEnd"/>
      <w:r w:rsidRPr="00004507">
        <w:rPr>
          <w:rFonts w:ascii="Arial" w:eastAsia="Times New Roman" w:hAnsi="Arial" w:cs="Arial"/>
          <w:iCs/>
          <w:color w:val="000000" w:themeColor="text1"/>
          <w:lang w:val="en-US" w:eastAsia="tr-TR"/>
        </w:rPr>
        <w:t xml:space="preserve"> </w:t>
      </w:r>
    </w:p>
    <w:p w14:paraId="1FE0279B"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hAnsi="Arial" w:cs="Arial"/>
          <w:color w:val="000000" w:themeColor="text1"/>
          <w:lang w:val="en-US"/>
        </w:rPr>
        <w:t>https://doi.org/10.1016/S0002-</w:t>
      </w:r>
      <w:proofErr w:type="gramStart"/>
      <w:r w:rsidRPr="00004507">
        <w:rPr>
          <w:rFonts w:ascii="Arial" w:hAnsi="Arial" w:cs="Arial"/>
          <w:color w:val="000000" w:themeColor="text1"/>
          <w:lang w:val="en-US"/>
        </w:rPr>
        <w:t>9394(</w:t>
      </w:r>
      <w:proofErr w:type="gramEnd"/>
      <w:r w:rsidRPr="00004507">
        <w:rPr>
          <w:rFonts w:ascii="Arial" w:hAnsi="Arial" w:cs="Arial"/>
          <w:color w:val="000000" w:themeColor="text1"/>
          <w:lang w:val="en-US"/>
        </w:rPr>
        <w:t>14)70908-0</w:t>
      </w:r>
    </w:p>
    <w:p w14:paraId="755C255F"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eastAsia="Times New Roman" w:hAnsi="Arial" w:cs="Arial"/>
          <w:iCs/>
          <w:color w:val="000000" w:themeColor="text1"/>
          <w:lang w:val="en-US" w:eastAsia="tr-TR"/>
        </w:rPr>
        <w:t>Citirik</w:t>
      </w:r>
      <w:proofErr w:type="spellEnd"/>
      <w:r w:rsidRPr="00004507">
        <w:rPr>
          <w:rFonts w:ascii="Arial" w:eastAsia="Times New Roman" w:hAnsi="Arial" w:cs="Arial"/>
          <w:iCs/>
          <w:color w:val="000000" w:themeColor="text1"/>
          <w:lang w:val="en-US" w:eastAsia="tr-TR"/>
        </w:rPr>
        <w:t xml:space="preserve"> M, </w:t>
      </w:r>
      <w:proofErr w:type="spellStart"/>
      <w:r w:rsidRPr="00004507">
        <w:rPr>
          <w:rFonts w:ascii="Arial" w:eastAsia="Times New Roman" w:hAnsi="Arial" w:cs="Arial"/>
          <w:iCs/>
          <w:color w:val="000000" w:themeColor="text1"/>
          <w:lang w:val="en-US" w:eastAsia="tr-TR"/>
        </w:rPr>
        <w:t>Acaroglu</w:t>
      </w:r>
      <w:proofErr w:type="spellEnd"/>
      <w:r w:rsidRPr="00004507">
        <w:rPr>
          <w:rFonts w:ascii="Arial" w:eastAsia="Times New Roman" w:hAnsi="Arial" w:cs="Arial"/>
          <w:iCs/>
          <w:color w:val="000000" w:themeColor="text1"/>
          <w:lang w:val="en-US" w:eastAsia="tr-TR"/>
        </w:rPr>
        <w:t xml:space="preserve"> G, Batman C, </w:t>
      </w:r>
      <w:proofErr w:type="spellStart"/>
      <w:r w:rsidRPr="00004507">
        <w:rPr>
          <w:rFonts w:ascii="Arial" w:eastAsia="Times New Roman" w:hAnsi="Arial" w:cs="Arial"/>
          <w:iCs/>
          <w:color w:val="000000" w:themeColor="text1"/>
          <w:lang w:val="en-US" w:eastAsia="tr-TR"/>
        </w:rPr>
        <w:t>Yildiran</w:t>
      </w:r>
      <w:proofErr w:type="spellEnd"/>
      <w:r w:rsidRPr="00004507">
        <w:rPr>
          <w:rFonts w:ascii="Arial" w:eastAsia="Times New Roman" w:hAnsi="Arial" w:cs="Arial"/>
          <w:iCs/>
          <w:color w:val="000000" w:themeColor="text1"/>
          <w:lang w:val="en-US" w:eastAsia="tr-TR"/>
        </w:rPr>
        <w:t xml:space="preserve"> L, </w:t>
      </w:r>
      <w:proofErr w:type="spellStart"/>
      <w:r w:rsidRPr="00004507">
        <w:rPr>
          <w:rFonts w:ascii="Arial" w:eastAsia="Times New Roman" w:hAnsi="Arial" w:cs="Arial"/>
          <w:iCs/>
          <w:color w:val="000000" w:themeColor="text1"/>
          <w:lang w:val="en-US" w:eastAsia="tr-TR"/>
        </w:rPr>
        <w:t>Zilelioglu</w:t>
      </w:r>
      <w:proofErr w:type="spellEnd"/>
      <w:r w:rsidRPr="00004507">
        <w:rPr>
          <w:rFonts w:ascii="Arial" w:eastAsia="Times New Roman" w:hAnsi="Arial" w:cs="Arial"/>
          <w:iCs/>
          <w:color w:val="000000" w:themeColor="text1"/>
          <w:lang w:val="en-US" w:eastAsia="tr-TR"/>
        </w:rPr>
        <w:t xml:space="preserve"> O (2007) </w:t>
      </w:r>
      <w:r w:rsidRPr="00004507">
        <w:rPr>
          <w:rFonts w:ascii="Arial" w:eastAsia="Times New Roman" w:hAnsi="Arial" w:cs="Arial"/>
          <w:color w:val="000000" w:themeColor="text1"/>
          <w:shd w:val="clear" w:color="auto" w:fill="FFFFFF"/>
          <w:lang w:val="en-US" w:eastAsia="tr-TR"/>
        </w:rPr>
        <w:t>A possible link between the pseudoexfoliation syndrome and coronary artery disease.</w:t>
      </w:r>
      <w:r w:rsidRPr="00004507">
        <w:rPr>
          <w:rFonts w:ascii="Arial" w:eastAsia="Times New Roman" w:hAnsi="Arial" w:cs="Arial"/>
          <w:iCs/>
          <w:color w:val="000000" w:themeColor="text1"/>
          <w:lang w:val="en-US" w:eastAsia="tr-TR"/>
        </w:rPr>
        <w:t xml:space="preserve"> Eye (</w:t>
      </w:r>
      <w:proofErr w:type="spellStart"/>
      <w:r w:rsidRPr="00004507">
        <w:rPr>
          <w:rFonts w:ascii="Arial" w:eastAsia="Times New Roman" w:hAnsi="Arial" w:cs="Arial"/>
          <w:iCs/>
          <w:color w:val="000000" w:themeColor="text1"/>
          <w:lang w:val="en-US" w:eastAsia="tr-TR"/>
        </w:rPr>
        <w:t>Lond</w:t>
      </w:r>
      <w:proofErr w:type="spellEnd"/>
      <w:r w:rsidRPr="00004507">
        <w:rPr>
          <w:rFonts w:ascii="Arial" w:eastAsia="Times New Roman" w:hAnsi="Arial" w:cs="Arial"/>
          <w:iCs/>
          <w:color w:val="000000" w:themeColor="text1"/>
          <w:lang w:val="en-US" w:eastAsia="tr-TR"/>
        </w:rPr>
        <w:t>) 21(1):11-5.</w:t>
      </w:r>
    </w:p>
    <w:p w14:paraId="6B1292F6"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Fonts w:ascii="Arial" w:eastAsia="Times New Roman" w:hAnsi="Arial" w:cs="Arial"/>
          <w:iCs/>
          <w:color w:val="000000" w:themeColor="text1"/>
          <w:lang w:val="en-US" w:eastAsia="tr-TR"/>
        </w:rPr>
        <w:t>https://doi.org/</w:t>
      </w:r>
      <w:r w:rsidRPr="00004507">
        <w:rPr>
          <w:rFonts w:ascii="Arial" w:hAnsi="Arial" w:cs="Arial"/>
          <w:color w:val="000000" w:themeColor="text1"/>
          <w:shd w:val="clear" w:color="auto" w:fill="FFFFFF"/>
          <w:lang w:val="en-US"/>
        </w:rPr>
        <w:t>10.1038/sj.eye.6702177</w:t>
      </w:r>
    </w:p>
    <w:p w14:paraId="429CE579"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color w:val="000000" w:themeColor="text1"/>
          <w:lang w:val="en-US" w:eastAsia="tr-TR"/>
        </w:rPr>
      </w:pPr>
      <w:proofErr w:type="spellStart"/>
      <w:r w:rsidRPr="00004507">
        <w:rPr>
          <w:rFonts w:ascii="Arial" w:eastAsia="Times New Roman" w:hAnsi="Arial" w:cs="Arial"/>
          <w:iCs/>
          <w:color w:val="000000" w:themeColor="text1"/>
          <w:lang w:val="en-US" w:eastAsia="tr-TR"/>
        </w:rPr>
        <w:t>Andrikopoulos</w:t>
      </w:r>
      <w:proofErr w:type="spellEnd"/>
      <w:r w:rsidRPr="00004507">
        <w:rPr>
          <w:rFonts w:ascii="Arial" w:eastAsia="Times New Roman" w:hAnsi="Arial" w:cs="Arial"/>
          <w:iCs/>
          <w:color w:val="000000" w:themeColor="text1"/>
          <w:lang w:val="en-US" w:eastAsia="tr-TR"/>
        </w:rPr>
        <w:t xml:space="preserve"> GK, </w:t>
      </w:r>
      <w:proofErr w:type="spellStart"/>
      <w:r w:rsidRPr="00004507">
        <w:rPr>
          <w:rFonts w:ascii="Arial" w:eastAsia="Times New Roman" w:hAnsi="Arial" w:cs="Arial"/>
          <w:iCs/>
          <w:color w:val="000000" w:themeColor="text1"/>
          <w:lang w:val="en-US" w:eastAsia="tr-TR"/>
        </w:rPr>
        <w:t>Mela</w:t>
      </w:r>
      <w:proofErr w:type="spellEnd"/>
      <w:r w:rsidRPr="00004507">
        <w:rPr>
          <w:rFonts w:ascii="Arial" w:eastAsia="Times New Roman" w:hAnsi="Arial" w:cs="Arial"/>
          <w:iCs/>
          <w:color w:val="000000" w:themeColor="text1"/>
          <w:lang w:val="en-US" w:eastAsia="tr-TR"/>
        </w:rPr>
        <w:t xml:space="preserve"> EK, </w:t>
      </w:r>
      <w:proofErr w:type="spellStart"/>
      <w:r w:rsidRPr="00004507">
        <w:rPr>
          <w:rFonts w:ascii="Arial" w:eastAsia="Times New Roman" w:hAnsi="Arial" w:cs="Arial"/>
          <w:iCs/>
          <w:color w:val="000000" w:themeColor="text1"/>
          <w:lang w:val="en-US" w:eastAsia="tr-TR"/>
        </w:rPr>
        <w:t>Georgakopoulos</w:t>
      </w:r>
      <w:proofErr w:type="spellEnd"/>
      <w:r w:rsidRPr="00004507">
        <w:rPr>
          <w:rFonts w:ascii="Arial" w:eastAsia="Times New Roman" w:hAnsi="Arial" w:cs="Arial"/>
          <w:iCs/>
          <w:color w:val="000000" w:themeColor="text1"/>
          <w:lang w:val="en-US" w:eastAsia="tr-TR"/>
        </w:rPr>
        <w:t xml:space="preserve"> CD, Papadopoulos GE, </w:t>
      </w:r>
      <w:proofErr w:type="spellStart"/>
      <w:r w:rsidRPr="00004507">
        <w:rPr>
          <w:rFonts w:ascii="Arial" w:eastAsia="Times New Roman" w:hAnsi="Arial" w:cs="Arial"/>
          <w:iCs/>
          <w:color w:val="000000" w:themeColor="text1"/>
          <w:lang w:val="en-US" w:eastAsia="tr-TR"/>
        </w:rPr>
        <w:t>Damelou</w:t>
      </w:r>
      <w:proofErr w:type="spellEnd"/>
      <w:r w:rsidRPr="00004507">
        <w:rPr>
          <w:rFonts w:ascii="Arial" w:eastAsia="Times New Roman" w:hAnsi="Arial" w:cs="Arial"/>
          <w:iCs/>
          <w:color w:val="000000" w:themeColor="text1"/>
          <w:lang w:val="en-US" w:eastAsia="tr-TR"/>
        </w:rPr>
        <w:t xml:space="preserve"> AN, </w:t>
      </w:r>
      <w:proofErr w:type="spellStart"/>
      <w:r w:rsidRPr="00004507">
        <w:rPr>
          <w:rFonts w:ascii="Arial" w:eastAsia="Times New Roman" w:hAnsi="Arial" w:cs="Arial"/>
          <w:iCs/>
          <w:color w:val="000000" w:themeColor="text1"/>
          <w:lang w:val="en-US" w:eastAsia="tr-TR"/>
        </w:rPr>
        <w:t>Alexopoulos</w:t>
      </w:r>
      <w:proofErr w:type="spellEnd"/>
      <w:r w:rsidRPr="00004507">
        <w:rPr>
          <w:rFonts w:ascii="Arial" w:eastAsia="Times New Roman" w:hAnsi="Arial" w:cs="Arial"/>
          <w:iCs/>
          <w:color w:val="000000" w:themeColor="text1"/>
          <w:lang w:val="en-US" w:eastAsia="tr-TR"/>
        </w:rPr>
        <w:t xml:space="preserve"> DK, </w:t>
      </w:r>
      <w:proofErr w:type="spellStart"/>
      <w:r w:rsidRPr="00004507">
        <w:rPr>
          <w:rFonts w:ascii="Arial" w:eastAsia="Times New Roman" w:hAnsi="Arial" w:cs="Arial"/>
          <w:iCs/>
          <w:color w:val="000000" w:themeColor="text1"/>
          <w:lang w:val="en-US" w:eastAsia="tr-TR"/>
        </w:rPr>
        <w:t>Gartaganis</w:t>
      </w:r>
      <w:proofErr w:type="spellEnd"/>
      <w:r w:rsidRPr="00004507">
        <w:rPr>
          <w:rFonts w:ascii="Arial" w:eastAsia="Times New Roman" w:hAnsi="Arial" w:cs="Arial"/>
          <w:iCs/>
          <w:color w:val="000000" w:themeColor="text1"/>
          <w:lang w:val="en-US" w:eastAsia="tr-TR"/>
        </w:rPr>
        <w:t xml:space="preserve"> SP (2009) </w:t>
      </w:r>
      <w:r w:rsidRPr="00004507">
        <w:rPr>
          <w:rFonts w:ascii="Arial" w:eastAsia="Times New Roman" w:hAnsi="Arial" w:cs="Arial"/>
          <w:color w:val="000000" w:themeColor="text1"/>
          <w:shd w:val="clear" w:color="auto" w:fill="FFFFFF"/>
          <w:lang w:val="en-US" w:eastAsia="tr-TR"/>
        </w:rPr>
        <w:t xml:space="preserve">Pseudoexfoliation syndrome prevalence in Greek patients with cataract and its association to glaucoma and coronary artery disease. </w:t>
      </w:r>
      <w:r w:rsidRPr="00004507">
        <w:rPr>
          <w:rFonts w:ascii="Arial" w:eastAsia="Times New Roman" w:hAnsi="Arial" w:cs="Arial"/>
          <w:iCs/>
          <w:color w:val="000000" w:themeColor="text1"/>
          <w:lang w:val="en-US" w:eastAsia="tr-TR"/>
        </w:rPr>
        <w:t>Eye (</w:t>
      </w:r>
      <w:proofErr w:type="spellStart"/>
      <w:r w:rsidRPr="00004507">
        <w:rPr>
          <w:rFonts w:ascii="Arial" w:eastAsia="Times New Roman" w:hAnsi="Arial" w:cs="Arial"/>
          <w:iCs/>
          <w:color w:val="000000" w:themeColor="text1"/>
          <w:lang w:val="en-US" w:eastAsia="tr-TR"/>
        </w:rPr>
        <w:t>Lond</w:t>
      </w:r>
      <w:proofErr w:type="spellEnd"/>
      <w:r w:rsidRPr="00004507">
        <w:rPr>
          <w:rFonts w:ascii="Arial" w:eastAsia="Times New Roman" w:hAnsi="Arial" w:cs="Arial"/>
          <w:iCs/>
          <w:color w:val="000000" w:themeColor="text1"/>
          <w:lang w:val="en-US" w:eastAsia="tr-TR"/>
        </w:rPr>
        <w:t xml:space="preserve">) 23(2):442-7. </w:t>
      </w:r>
    </w:p>
    <w:p w14:paraId="181C2169"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color w:val="000000" w:themeColor="text1"/>
          <w:lang w:val="en-US" w:eastAsia="tr-TR"/>
        </w:rPr>
      </w:pPr>
      <w:r w:rsidRPr="00004507">
        <w:rPr>
          <w:rFonts w:ascii="Arial" w:hAnsi="Arial" w:cs="Arial"/>
          <w:color w:val="000000" w:themeColor="text1"/>
          <w:lang w:val="en-US"/>
        </w:rPr>
        <w:t>https://doi.org/10.1038/sj.eye.6702992</w:t>
      </w:r>
    </w:p>
    <w:p w14:paraId="0A3A7371"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proofErr w:type="spellStart"/>
      <w:r w:rsidRPr="00004507">
        <w:rPr>
          <w:rFonts w:ascii="Arial" w:eastAsia="Times New Roman" w:hAnsi="Arial" w:cs="Arial"/>
          <w:iCs/>
          <w:color w:val="000000" w:themeColor="text1"/>
          <w:lang w:val="en-US" w:eastAsia="tr-TR"/>
        </w:rPr>
        <w:t>Sekeroglu</w:t>
      </w:r>
      <w:proofErr w:type="spellEnd"/>
      <w:r w:rsidRPr="00004507">
        <w:rPr>
          <w:rFonts w:ascii="Arial" w:eastAsia="Times New Roman" w:hAnsi="Arial" w:cs="Arial"/>
          <w:iCs/>
          <w:color w:val="000000" w:themeColor="text1"/>
          <w:lang w:val="en-US" w:eastAsia="tr-TR"/>
        </w:rPr>
        <w:t xml:space="preserve"> MA, </w:t>
      </w:r>
      <w:proofErr w:type="spellStart"/>
      <w:r w:rsidRPr="00004507">
        <w:rPr>
          <w:rFonts w:ascii="Arial" w:eastAsia="Times New Roman" w:hAnsi="Arial" w:cs="Arial"/>
          <w:iCs/>
          <w:color w:val="000000" w:themeColor="text1"/>
          <w:lang w:val="en-US" w:eastAsia="tr-TR"/>
        </w:rPr>
        <w:t>Bozkurt</w:t>
      </w:r>
      <w:proofErr w:type="spellEnd"/>
      <w:r w:rsidRPr="00004507">
        <w:rPr>
          <w:rFonts w:ascii="Arial" w:eastAsia="Times New Roman" w:hAnsi="Arial" w:cs="Arial"/>
          <w:iCs/>
          <w:color w:val="000000" w:themeColor="text1"/>
          <w:lang w:val="en-US" w:eastAsia="tr-TR"/>
        </w:rPr>
        <w:t xml:space="preserve"> B, </w:t>
      </w:r>
      <w:proofErr w:type="spellStart"/>
      <w:r w:rsidRPr="00004507">
        <w:rPr>
          <w:rFonts w:ascii="Arial" w:eastAsia="Times New Roman" w:hAnsi="Arial" w:cs="Arial"/>
          <w:iCs/>
          <w:color w:val="000000" w:themeColor="text1"/>
          <w:lang w:val="en-US" w:eastAsia="tr-TR"/>
        </w:rPr>
        <w:t>Irkec</w:t>
      </w:r>
      <w:proofErr w:type="spellEnd"/>
      <w:r w:rsidRPr="00004507">
        <w:rPr>
          <w:rFonts w:ascii="Arial" w:eastAsia="Times New Roman" w:hAnsi="Arial" w:cs="Arial"/>
          <w:iCs/>
          <w:color w:val="000000" w:themeColor="text1"/>
          <w:lang w:val="en-US" w:eastAsia="tr-TR"/>
        </w:rPr>
        <w:t xml:space="preserve"> M, </w:t>
      </w:r>
      <w:proofErr w:type="spellStart"/>
      <w:r w:rsidRPr="00004507">
        <w:rPr>
          <w:rFonts w:ascii="Arial" w:eastAsia="Times New Roman" w:hAnsi="Arial" w:cs="Arial"/>
          <w:iCs/>
          <w:color w:val="000000" w:themeColor="text1"/>
          <w:lang w:val="en-US" w:eastAsia="tr-TR"/>
        </w:rPr>
        <w:t>Ustunel</w:t>
      </w:r>
      <w:proofErr w:type="spellEnd"/>
      <w:r w:rsidRPr="00004507">
        <w:rPr>
          <w:rFonts w:ascii="Arial" w:eastAsia="Times New Roman" w:hAnsi="Arial" w:cs="Arial"/>
          <w:iCs/>
          <w:color w:val="000000" w:themeColor="text1"/>
          <w:lang w:val="en-US" w:eastAsia="tr-TR"/>
        </w:rPr>
        <w:t xml:space="preserve"> S, </w:t>
      </w:r>
      <w:proofErr w:type="spellStart"/>
      <w:r w:rsidRPr="00004507">
        <w:rPr>
          <w:rFonts w:ascii="Arial" w:eastAsia="Times New Roman" w:hAnsi="Arial" w:cs="Arial"/>
          <w:iCs/>
          <w:color w:val="000000" w:themeColor="text1"/>
          <w:lang w:val="en-US" w:eastAsia="tr-TR"/>
        </w:rPr>
        <w:t>Orhan</w:t>
      </w:r>
      <w:proofErr w:type="spellEnd"/>
      <w:r w:rsidRPr="00004507">
        <w:rPr>
          <w:rFonts w:ascii="Arial" w:eastAsia="Times New Roman" w:hAnsi="Arial" w:cs="Arial"/>
          <w:iCs/>
          <w:color w:val="000000" w:themeColor="text1"/>
          <w:lang w:val="en-US" w:eastAsia="tr-TR"/>
        </w:rPr>
        <w:t xml:space="preserve"> M, </w:t>
      </w:r>
      <w:proofErr w:type="spellStart"/>
      <w:r w:rsidRPr="00004507">
        <w:rPr>
          <w:rFonts w:ascii="Arial" w:eastAsia="Times New Roman" w:hAnsi="Arial" w:cs="Arial"/>
          <w:iCs/>
          <w:color w:val="000000" w:themeColor="text1"/>
          <w:lang w:val="en-US" w:eastAsia="tr-TR"/>
        </w:rPr>
        <w:t>Saracbasi</w:t>
      </w:r>
      <w:proofErr w:type="spellEnd"/>
      <w:r w:rsidRPr="00004507">
        <w:rPr>
          <w:rFonts w:ascii="Arial" w:eastAsia="Times New Roman" w:hAnsi="Arial" w:cs="Arial"/>
          <w:iCs/>
          <w:color w:val="000000" w:themeColor="text1"/>
          <w:lang w:val="en-US" w:eastAsia="tr-TR"/>
        </w:rPr>
        <w:t xml:space="preserve"> O (2008) </w:t>
      </w:r>
      <w:r w:rsidRPr="00004507">
        <w:rPr>
          <w:rFonts w:ascii="Arial" w:eastAsia="Times New Roman" w:hAnsi="Arial" w:cs="Arial"/>
          <w:color w:val="000000" w:themeColor="text1"/>
          <w:shd w:val="clear" w:color="auto" w:fill="FFFFFF"/>
          <w:lang w:val="en-US" w:eastAsia="tr-TR"/>
        </w:rPr>
        <w:t xml:space="preserve">Systemic associations and prevalence of exfoliation syndrome in patients scheduled for cataract surgery. </w:t>
      </w:r>
      <w:proofErr w:type="spellStart"/>
      <w:r w:rsidRPr="00004507">
        <w:rPr>
          <w:rFonts w:ascii="Arial" w:eastAsia="Times New Roman" w:hAnsi="Arial" w:cs="Arial"/>
          <w:iCs/>
          <w:color w:val="000000" w:themeColor="text1"/>
          <w:lang w:val="en-US" w:eastAsia="tr-TR"/>
        </w:rPr>
        <w:t>Eur</w:t>
      </w:r>
      <w:proofErr w:type="spellEnd"/>
      <w:r w:rsidRPr="00004507">
        <w:rPr>
          <w:rFonts w:ascii="Arial" w:eastAsia="Times New Roman" w:hAnsi="Arial" w:cs="Arial"/>
          <w:iCs/>
          <w:color w:val="000000" w:themeColor="text1"/>
          <w:lang w:val="en-US" w:eastAsia="tr-TR"/>
        </w:rPr>
        <w:t xml:space="preserve"> J </w:t>
      </w:r>
      <w:proofErr w:type="spellStart"/>
      <w:r w:rsidRPr="00004507">
        <w:rPr>
          <w:rFonts w:ascii="Arial" w:eastAsia="Times New Roman" w:hAnsi="Arial" w:cs="Arial"/>
          <w:iCs/>
          <w:color w:val="000000" w:themeColor="text1"/>
          <w:lang w:val="en-US" w:eastAsia="tr-TR"/>
        </w:rPr>
        <w:t>Ophthalmol</w:t>
      </w:r>
      <w:proofErr w:type="spellEnd"/>
      <w:r w:rsidRPr="00004507">
        <w:rPr>
          <w:rFonts w:ascii="Arial" w:eastAsia="Times New Roman" w:hAnsi="Arial" w:cs="Arial"/>
          <w:iCs/>
          <w:color w:val="000000" w:themeColor="text1"/>
          <w:lang w:val="en-US" w:eastAsia="tr-TR"/>
        </w:rPr>
        <w:t xml:space="preserve"> 18(4):551-5. </w:t>
      </w:r>
    </w:p>
    <w:p w14:paraId="7F6B75A9"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eastAsia="Times New Roman" w:hAnsi="Arial" w:cs="Arial"/>
          <w:color w:val="000000" w:themeColor="text1"/>
          <w:lang w:val="en-US" w:eastAsia="tr-TR"/>
        </w:rPr>
        <w:t>https://doi.org/10.1177/112067210801800408</w:t>
      </w:r>
    </w:p>
    <w:p w14:paraId="588DDCC3"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proofErr w:type="spellStart"/>
      <w:r w:rsidRPr="00004507">
        <w:rPr>
          <w:rFonts w:ascii="Arial" w:eastAsia="Times New Roman" w:hAnsi="Arial" w:cs="Arial"/>
          <w:iCs/>
          <w:color w:val="000000" w:themeColor="text1"/>
          <w:lang w:val="en-US" w:eastAsia="tr-TR"/>
        </w:rPr>
        <w:t>Demir</w:t>
      </w:r>
      <w:proofErr w:type="spellEnd"/>
      <w:r w:rsidRPr="00004507">
        <w:rPr>
          <w:rFonts w:ascii="Arial" w:eastAsia="Times New Roman" w:hAnsi="Arial" w:cs="Arial"/>
          <w:iCs/>
          <w:color w:val="000000" w:themeColor="text1"/>
          <w:lang w:val="en-US" w:eastAsia="tr-TR"/>
        </w:rPr>
        <w:t xml:space="preserve"> N, </w:t>
      </w:r>
      <w:proofErr w:type="spellStart"/>
      <w:r w:rsidRPr="00004507">
        <w:rPr>
          <w:rFonts w:ascii="Arial" w:eastAsia="Times New Roman" w:hAnsi="Arial" w:cs="Arial"/>
          <w:iCs/>
          <w:color w:val="000000" w:themeColor="text1"/>
          <w:lang w:val="en-US" w:eastAsia="tr-TR"/>
        </w:rPr>
        <w:t>Ulus</w:t>
      </w:r>
      <w:proofErr w:type="spellEnd"/>
      <w:r w:rsidRPr="00004507">
        <w:rPr>
          <w:rFonts w:ascii="Arial" w:eastAsia="Times New Roman" w:hAnsi="Arial" w:cs="Arial"/>
          <w:iCs/>
          <w:color w:val="000000" w:themeColor="text1"/>
          <w:lang w:val="en-US" w:eastAsia="tr-TR"/>
        </w:rPr>
        <w:t xml:space="preserve"> T, </w:t>
      </w:r>
      <w:proofErr w:type="spellStart"/>
      <w:r w:rsidRPr="00004507">
        <w:rPr>
          <w:rFonts w:ascii="Arial" w:eastAsia="Times New Roman" w:hAnsi="Arial" w:cs="Arial"/>
          <w:iCs/>
          <w:color w:val="000000" w:themeColor="text1"/>
          <w:lang w:val="en-US" w:eastAsia="tr-TR"/>
        </w:rPr>
        <w:t>Yucel</w:t>
      </w:r>
      <w:proofErr w:type="spellEnd"/>
      <w:r w:rsidRPr="00004507">
        <w:rPr>
          <w:rFonts w:ascii="Arial" w:eastAsia="Times New Roman" w:hAnsi="Arial" w:cs="Arial"/>
          <w:iCs/>
          <w:color w:val="000000" w:themeColor="text1"/>
          <w:lang w:val="en-US" w:eastAsia="tr-TR"/>
        </w:rPr>
        <w:t xml:space="preserve"> OE, </w:t>
      </w:r>
      <w:proofErr w:type="spellStart"/>
      <w:r w:rsidRPr="00004507">
        <w:rPr>
          <w:rFonts w:ascii="Arial" w:eastAsia="Times New Roman" w:hAnsi="Arial" w:cs="Arial"/>
          <w:iCs/>
          <w:color w:val="000000" w:themeColor="text1"/>
          <w:lang w:val="en-US" w:eastAsia="tr-TR"/>
        </w:rPr>
        <w:t>Kumral</w:t>
      </w:r>
      <w:proofErr w:type="spellEnd"/>
      <w:r w:rsidRPr="00004507">
        <w:rPr>
          <w:rFonts w:ascii="Arial" w:eastAsia="Times New Roman" w:hAnsi="Arial" w:cs="Arial"/>
          <w:iCs/>
          <w:color w:val="000000" w:themeColor="text1"/>
          <w:lang w:val="en-US" w:eastAsia="tr-TR"/>
        </w:rPr>
        <w:t xml:space="preserve"> ET, </w:t>
      </w:r>
      <w:proofErr w:type="spellStart"/>
      <w:r w:rsidRPr="00004507">
        <w:rPr>
          <w:rFonts w:ascii="Arial" w:eastAsia="Times New Roman" w:hAnsi="Arial" w:cs="Arial"/>
          <w:iCs/>
          <w:color w:val="000000" w:themeColor="text1"/>
          <w:lang w:val="en-US" w:eastAsia="tr-TR"/>
        </w:rPr>
        <w:t>Singar</w:t>
      </w:r>
      <w:proofErr w:type="spellEnd"/>
      <w:r w:rsidRPr="00004507">
        <w:rPr>
          <w:rFonts w:ascii="Arial" w:eastAsia="Times New Roman" w:hAnsi="Arial" w:cs="Arial"/>
          <w:iCs/>
          <w:color w:val="000000" w:themeColor="text1"/>
          <w:lang w:val="en-US" w:eastAsia="tr-TR"/>
        </w:rPr>
        <w:t xml:space="preserve"> E, </w:t>
      </w:r>
      <w:proofErr w:type="spellStart"/>
      <w:r w:rsidRPr="00004507">
        <w:rPr>
          <w:rFonts w:ascii="Arial" w:eastAsia="Times New Roman" w:hAnsi="Arial" w:cs="Arial"/>
          <w:iCs/>
          <w:color w:val="000000" w:themeColor="text1"/>
          <w:lang w:val="en-US" w:eastAsia="tr-TR"/>
        </w:rPr>
        <w:t>Tanboga</w:t>
      </w:r>
      <w:proofErr w:type="spellEnd"/>
      <w:r w:rsidRPr="00004507">
        <w:rPr>
          <w:rFonts w:ascii="Arial" w:eastAsia="Times New Roman" w:hAnsi="Arial" w:cs="Arial"/>
          <w:iCs/>
          <w:color w:val="000000" w:themeColor="text1"/>
          <w:lang w:val="en-US" w:eastAsia="tr-TR"/>
        </w:rPr>
        <w:t xml:space="preserve"> HI (2011) </w:t>
      </w:r>
      <w:r w:rsidRPr="00004507">
        <w:rPr>
          <w:rFonts w:ascii="Arial" w:eastAsia="Times New Roman" w:hAnsi="Arial" w:cs="Arial"/>
          <w:color w:val="000000" w:themeColor="text1"/>
          <w:shd w:val="clear" w:color="auto" w:fill="FFFFFF"/>
          <w:lang w:val="en-US" w:eastAsia="tr-TR"/>
        </w:rPr>
        <w:t xml:space="preserve">Assessment of myocardial </w:t>
      </w:r>
      <w:proofErr w:type="spellStart"/>
      <w:r w:rsidRPr="00004507">
        <w:rPr>
          <w:rFonts w:ascii="Arial" w:eastAsia="Times New Roman" w:hAnsi="Arial" w:cs="Arial"/>
          <w:color w:val="000000" w:themeColor="text1"/>
          <w:shd w:val="clear" w:color="auto" w:fill="FFFFFF"/>
          <w:lang w:val="en-US" w:eastAsia="tr-TR"/>
        </w:rPr>
        <w:t>ischaemia</w:t>
      </w:r>
      <w:proofErr w:type="spellEnd"/>
      <w:r w:rsidRPr="00004507">
        <w:rPr>
          <w:rFonts w:ascii="Arial" w:eastAsia="Times New Roman" w:hAnsi="Arial" w:cs="Arial"/>
          <w:color w:val="000000" w:themeColor="text1"/>
          <w:shd w:val="clear" w:color="auto" w:fill="FFFFFF"/>
          <w:lang w:val="en-US" w:eastAsia="tr-TR"/>
        </w:rPr>
        <w:t xml:space="preserve"> using tissue Doppler imaging in pseudoexfoliation syndrome. </w:t>
      </w:r>
      <w:r w:rsidRPr="00004507">
        <w:rPr>
          <w:rFonts w:ascii="Arial" w:eastAsia="Times New Roman" w:hAnsi="Arial" w:cs="Arial"/>
          <w:iCs/>
          <w:color w:val="000000" w:themeColor="text1"/>
          <w:lang w:val="en-US" w:eastAsia="tr-TR"/>
        </w:rPr>
        <w:t>Eye (</w:t>
      </w:r>
      <w:proofErr w:type="spellStart"/>
      <w:r w:rsidRPr="00004507">
        <w:rPr>
          <w:rFonts w:ascii="Arial" w:eastAsia="Times New Roman" w:hAnsi="Arial" w:cs="Arial"/>
          <w:iCs/>
          <w:color w:val="000000" w:themeColor="text1"/>
          <w:lang w:val="en-US" w:eastAsia="tr-TR"/>
        </w:rPr>
        <w:t>Lond</w:t>
      </w:r>
      <w:proofErr w:type="spellEnd"/>
      <w:r w:rsidRPr="00004507">
        <w:rPr>
          <w:rFonts w:ascii="Arial" w:eastAsia="Times New Roman" w:hAnsi="Arial" w:cs="Arial"/>
          <w:iCs/>
          <w:color w:val="000000" w:themeColor="text1"/>
          <w:lang w:val="en-US" w:eastAsia="tr-TR"/>
        </w:rPr>
        <w:t>) 25(9):1177-80.</w:t>
      </w:r>
    </w:p>
    <w:p w14:paraId="555B1528"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eastAsia="Times New Roman" w:hAnsi="Arial" w:cs="Arial"/>
          <w:iCs/>
          <w:color w:val="000000" w:themeColor="text1"/>
          <w:lang w:val="en-US" w:eastAsia="tr-TR"/>
        </w:rPr>
        <w:t>https://doi.org/</w:t>
      </w:r>
      <w:r w:rsidRPr="00004507">
        <w:rPr>
          <w:rFonts w:ascii="Arial" w:hAnsi="Arial" w:cs="Arial"/>
          <w:color w:val="000000" w:themeColor="text1"/>
          <w:shd w:val="clear" w:color="auto" w:fill="FFFFFF"/>
          <w:lang w:val="en-US"/>
        </w:rPr>
        <w:t>10.1038/eye.2011.145</w:t>
      </w:r>
    </w:p>
    <w:p w14:paraId="22478416"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eastAsia="Times New Roman" w:hAnsi="Arial" w:cs="Arial"/>
          <w:iCs/>
          <w:color w:val="000000" w:themeColor="text1"/>
          <w:lang w:val="en-US" w:eastAsia="tr-TR"/>
        </w:rPr>
        <w:t xml:space="preserve">French DD, Margo CE, Harman LE (2012) </w:t>
      </w:r>
      <w:r w:rsidRPr="00004507">
        <w:rPr>
          <w:rFonts w:ascii="Arial" w:eastAsia="Times New Roman" w:hAnsi="Arial" w:cs="Arial"/>
          <w:color w:val="000000" w:themeColor="text1"/>
          <w:shd w:val="clear" w:color="auto" w:fill="FFFFFF"/>
          <w:lang w:val="en-US" w:eastAsia="tr-TR"/>
        </w:rPr>
        <w:t xml:space="preserve">Ocular pseudoexfoliation and cardiovascular disease: a national cross-section comparison study. </w:t>
      </w:r>
      <w:r w:rsidRPr="00004507">
        <w:rPr>
          <w:rFonts w:ascii="Arial" w:eastAsia="Times New Roman" w:hAnsi="Arial" w:cs="Arial"/>
          <w:iCs/>
          <w:color w:val="000000" w:themeColor="text1"/>
          <w:lang w:val="en-US" w:eastAsia="tr-TR"/>
        </w:rPr>
        <w:t xml:space="preserve">N Am J Med </w:t>
      </w:r>
      <w:proofErr w:type="spellStart"/>
      <w:r w:rsidRPr="00004507">
        <w:rPr>
          <w:rFonts w:ascii="Arial" w:eastAsia="Times New Roman" w:hAnsi="Arial" w:cs="Arial"/>
          <w:iCs/>
          <w:color w:val="000000" w:themeColor="text1"/>
          <w:lang w:val="en-US" w:eastAsia="tr-TR"/>
        </w:rPr>
        <w:t>Sci</w:t>
      </w:r>
      <w:proofErr w:type="spellEnd"/>
      <w:r w:rsidRPr="00004507">
        <w:rPr>
          <w:rFonts w:ascii="Arial" w:eastAsia="Times New Roman" w:hAnsi="Arial" w:cs="Arial"/>
          <w:iCs/>
          <w:color w:val="000000" w:themeColor="text1"/>
          <w:lang w:val="en-US" w:eastAsia="tr-TR"/>
        </w:rPr>
        <w:t xml:space="preserve"> 4(10):468-73.</w:t>
      </w:r>
    </w:p>
    <w:p w14:paraId="2CA310B1"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hAnsi="Arial" w:cs="Arial"/>
          <w:color w:val="000000" w:themeColor="text1"/>
          <w:shd w:val="clear" w:color="auto" w:fill="FFFFFF"/>
          <w:lang w:val="en-US"/>
        </w:rPr>
        <w:t>https://doi.org/10.4103/1947-2714.101987</w:t>
      </w:r>
    </w:p>
    <w:p w14:paraId="06C421D5"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proofErr w:type="spellStart"/>
      <w:r w:rsidRPr="00004507">
        <w:rPr>
          <w:rFonts w:ascii="Arial" w:eastAsia="Times New Roman" w:hAnsi="Arial" w:cs="Arial"/>
          <w:iCs/>
          <w:color w:val="000000" w:themeColor="text1"/>
          <w:lang w:val="en-US" w:eastAsia="tr-TR"/>
        </w:rPr>
        <w:t>Anastasopoulos</w:t>
      </w:r>
      <w:proofErr w:type="spellEnd"/>
      <w:r w:rsidRPr="00004507">
        <w:rPr>
          <w:rFonts w:ascii="Arial" w:eastAsia="Times New Roman" w:hAnsi="Arial" w:cs="Arial"/>
          <w:iCs/>
          <w:color w:val="000000" w:themeColor="text1"/>
          <w:lang w:val="en-US" w:eastAsia="tr-TR"/>
        </w:rPr>
        <w:t xml:space="preserve"> E, </w:t>
      </w:r>
      <w:proofErr w:type="spellStart"/>
      <w:r w:rsidRPr="00004507">
        <w:rPr>
          <w:rFonts w:ascii="Arial" w:eastAsia="Times New Roman" w:hAnsi="Arial" w:cs="Arial"/>
          <w:iCs/>
          <w:color w:val="000000" w:themeColor="text1"/>
          <w:lang w:val="en-US" w:eastAsia="tr-TR"/>
        </w:rPr>
        <w:t>Topouzis</w:t>
      </w:r>
      <w:proofErr w:type="spellEnd"/>
      <w:r w:rsidRPr="00004507">
        <w:rPr>
          <w:rFonts w:ascii="Arial" w:eastAsia="Times New Roman" w:hAnsi="Arial" w:cs="Arial"/>
          <w:iCs/>
          <w:color w:val="000000" w:themeColor="text1"/>
          <w:lang w:val="en-US" w:eastAsia="tr-TR"/>
        </w:rPr>
        <w:t xml:space="preserve"> F, Wilson MR, Harris A, Pappas T, Yu F, </w:t>
      </w:r>
      <w:proofErr w:type="spellStart"/>
      <w:r w:rsidRPr="00004507">
        <w:rPr>
          <w:rFonts w:ascii="Arial" w:eastAsia="Times New Roman" w:hAnsi="Arial" w:cs="Arial"/>
          <w:iCs/>
          <w:color w:val="000000" w:themeColor="text1"/>
          <w:lang w:val="en-US" w:eastAsia="tr-TR"/>
        </w:rPr>
        <w:t>Koskosas</w:t>
      </w:r>
      <w:proofErr w:type="spellEnd"/>
      <w:r w:rsidRPr="00004507">
        <w:rPr>
          <w:rFonts w:ascii="Arial" w:eastAsia="Times New Roman" w:hAnsi="Arial" w:cs="Arial"/>
          <w:iCs/>
          <w:color w:val="000000" w:themeColor="text1"/>
          <w:lang w:val="en-US" w:eastAsia="tr-TR"/>
        </w:rPr>
        <w:t xml:space="preserve"> A, </w:t>
      </w:r>
      <w:proofErr w:type="spellStart"/>
      <w:r w:rsidRPr="00004507">
        <w:rPr>
          <w:rFonts w:ascii="Arial" w:eastAsia="Times New Roman" w:hAnsi="Arial" w:cs="Arial"/>
          <w:iCs/>
          <w:color w:val="000000" w:themeColor="text1"/>
          <w:lang w:val="en-US" w:eastAsia="tr-TR"/>
        </w:rPr>
        <w:t>Founti</w:t>
      </w:r>
      <w:proofErr w:type="spellEnd"/>
      <w:r w:rsidRPr="00004507">
        <w:rPr>
          <w:rFonts w:ascii="Arial" w:eastAsia="Times New Roman" w:hAnsi="Arial" w:cs="Arial"/>
          <w:iCs/>
          <w:color w:val="000000" w:themeColor="text1"/>
          <w:lang w:val="en-US" w:eastAsia="tr-TR"/>
        </w:rPr>
        <w:t xml:space="preserve"> P, Coleman AL</w:t>
      </w:r>
      <w:r w:rsidRPr="00004507">
        <w:rPr>
          <w:rFonts w:ascii="Arial" w:eastAsia="Times New Roman" w:hAnsi="Arial" w:cs="Arial"/>
          <w:color w:val="000000" w:themeColor="text1"/>
          <w:shd w:val="clear" w:color="auto" w:fill="FFFFFF"/>
          <w:lang w:val="en-US" w:eastAsia="tr-TR"/>
        </w:rPr>
        <w:t xml:space="preserve"> (</w:t>
      </w:r>
      <w:r w:rsidRPr="00004507">
        <w:rPr>
          <w:rFonts w:ascii="Arial" w:eastAsia="Times New Roman" w:hAnsi="Arial" w:cs="Arial"/>
          <w:iCs/>
          <w:color w:val="000000" w:themeColor="text1"/>
          <w:lang w:val="en-US" w:eastAsia="tr-TR"/>
        </w:rPr>
        <w:t xml:space="preserve">2011) </w:t>
      </w:r>
      <w:r w:rsidRPr="00004507">
        <w:rPr>
          <w:rFonts w:ascii="Arial" w:eastAsia="Times New Roman" w:hAnsi="Arial" w:cs="Arial"/>
          <w:color w:val="000000" w:themeColor="text1"/>
          <w:shd w:val="clear" w:color="auto" w:fill="FFFFFF"/>
          <w:lang w:val="en-US" w:eastAsia="tr-TR"/>
        </w:rPr>
        <w:t>Characteristics of pseudoexfoliation in the Thessaloniki Eye Study.</w:t>
      </w:r>
      <w:r w:rsidRPr="00004507">
        <w:rPr>
          <w:rFonts w:ascii="Arial" w:eastAsia="Times New Roman" w:hAnsi="Arial" w:cs="Arial"/>
          <w:color w:val="000000" w:themeColor="text1"/>
          <w:lang w:val="en-US" w:eastAsia="tr-TR"/>
        </w:rPr>
        <w:t xml:space="preserve"> </w:t>
      </w:r>
      <w:r w:rsidRPr="00004507">
        <w:rPr>
          <w:rFonts w:ascii="Arial" w:eastAsia="Times New Roman" w:hAnsi="Arial" w:cs="Arial"/>
          <w:iCs/>
          <w:color w:val="000000" w:themeColor="text1"/>
          <w:lang w:val="en-US" w:eastAsia="tr-TR"/>
        </w:rPr>
        <w:t xml:space="preserve">J Glaucoma 20(3):160-166. </w:t>
      </w:r>
    </w:p>
    <w:p w14:paraId="2D529F74"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r w:rsidRPr="00004507">
        <w:rPr>
          <w:rFonts w:ascii="Arial" w:eastAsia="Times New Roman" w:hAnsi="Arial" w:cs="Arial"/>
          <w:iCs/>
          <w:color w:val="000000" w:themeColor="text1"/>
          <w:lang w:val="en-US" w:eastAsia="tr-TR"/>
        </w:rPr>
        <w:t>https://doi.org/</w:t>
      </w:r>
      <w:r w:rsidRPr="00004507">
        <w:rPr>
          <w:rFonts w:ascii="Arial" w:hAnsi="Arial" w:cs="Arial"/>
          <w:color w:val="000000" w:themeColor="text1"/>
          <w:shd w:val="clear" w:color="auto" w:fill="FFFFFF"/>
          <w:lang w:val="en-US"/>
        </w:rPr>
        <w:t>10.1097/IJG.0b013e3181d9d8bd</w:t>
      </w:r>
    </w:p>
    <w:p w14:paraId="55BBEC06"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proofErr w:type="spellStart"/>
      <w:r w:rsidRPr="00004507">
        <w:rPr>
          <w:rStyle w:val="element-citation"/>
          <w:rFonts w:ascii="Arial" w:hAnsi="Arial" w:cs="Arial"/>
          <w:color w:val="000000" w:themeColor="text1"/>
          <w:lang w:val="en-US"/>
        </w:rPr>
        <w:t>Brajković</w:t>
      </w:r>
      <w:proofErr w:type="spellEnd"/>
      <w:r w:rsidRPr="00004507">
        <w:rPr>
          <w:rStyle w:val="element-citation"/>
          <w:rFonts w:ascii="Arial" w:hAnsi="Arial" w:cs="Arial"/>
          <w:color w:val="000000" w:themeColor="text1"/>
          <w:lang w:val="en-US"/>
        </w:rPr>
        <w:t xml:space="preserve"> J, </w:t>
      </w:r>
      <w:proofErr w:type="spellStart"/>
      <w:r w:rsidRPr="00004507">
        <w:rPr>
          <w:rStyle w:val="element-citation"/>
          <w:rFonts w:ascii="Arial" w:hAnsi="Arial" w:cs="Arial"/>
          <w:color w:val="000000" w:themeColor="text1"/>
          <w:lang w:val="en-US"/>
        </w:rPr>
        <w:t>Kalauz-Surać</w:t>
      </w:r>
      <w:proofErr w:type="spellEnd"/>
      <w:r w:rsidRPr="00004507">
        <w:rPr>
          <w:rStyle w:val="element-citation"/>
          <w:rFonts w:ascii="Arial" w:hAnsi="Arial" w:cs="Arial"/>
          <w:color w:val="000000" w:themeColor="text1"/>
          <w:lang w:val="en-US"/>
        </w:rPr>
        <w:t xml:space="preserve"> I, </w:t>
      </w:r>
      <w:proofErr w:type="spellStart"/>
      <w:r w:rsidRPr="00004507">
        <w:rPr>
          <w:rStyle w:val="element-citation"/>
          <w:rFonts w:ascii="Arial" w:hAnsi="Arial" w:cs="Arial"/>
          <w:color w:val="000000" w:themeColor="text1"/>
          <w:lang w:val="en-US"/>
        </w:rPr>
        <w:t>Ercegović</w:t>
      </w:r>
      <w:proofErr w:type="spellEnd"/>
      <w:r w:rsidRPr="00004507">
        <w:rPr>
          <w:rStyle w:val="element-citation"/>
          <w:rFonts w:ascii="Arial" w:hAnsi="Arial" w:cs="Arial"/>
          <w:color w:val="000000" w:themeColor="text1"/>
          <w:lang w:val="en-US"/>
        </w:rPr>
        <w:t xml:space="preserve"> A, </w:t>
      </w:r>
      <w:proofErr w:type="spellStart"/>
      <w:r w:rsidRPr="00004507">
        <w:rPr>
          <w:rStyle w:val="element-citation"/>
          <w:rFonts w:ascii="Arial" w:hAnsi="Arial" w:cs="Arial"/>
          <w:color w:val="000000" w:themeColor="text1"/>
          <w:lang w:val="en-US"/>
        </w:rPr>
        <w:t>Miletić-Jurić</w:t>
      </w:r>
      <w:proofErr w:type="spellEnd"/>
      <w:r w:rsidRPr="00004507">
        <w:rPr>
          <w:rStyle w:val="element-citation"/>
          <w:rFonts w:ascii="Arial" w:hAnsi="Arial" w:cs="Arial"/>
          <w:color w:val="000000" w:themeColor="text1"/>
          <w:lang w:val="en-US"/>
        </w:rPr>
        <w:t xml:space="preserve"> A, </w:t>
      </w:r>
      <w:proofErr w:type="spellStart"/>
      <w:r w:rsidRPr="00004507">
        <w:rPr>
          <w:rStyle w:val="element-citation"/>
          <w:rFonts w:ascii="Arial" w:hAnsi="Arial" w:cs="Arial"/>
          <w:color w:val="000000" w:themeColor="text1"/>
          <w:lang w:val="en-US"/>
        </w:rPr>
        <w:t>Sušić</w:t>
      </w:r>
      <w:proofErr w:type="spellEnd"/>
      <w:r w:rsidRPr="00004507">
        <w:rPr>
          <w:rStyle w:val="element-citation"/>
          <w:rFonts w:ascii="Arial" w:hAnsi="Arial" w:cs="Arial"/>
          <w:color w:val="000000" w:themeColor="text1"/>
          <w:lang w:val="en-US"/>
        </w:rPr>
        <w:t xml:space="preserve"> N, </w:t>
      </w:r>
      <w:proofErr w:type="spellStart"/>
      <w:r w:rsidRPr="00004507">
        <w:rPr>
          <w:rStyle w:val="element-citation"/>
          <w:rFonts w:ascii="Arial" w:hAnsi="Arial" w:cs="Arial"/>
          <w:color w:val="000000" w:themeColor="text1"/>
          <w:lang w:val="en-US"/>
        </w:rPr>
        <w:t>Burić</w:t>
      </w:r>
      <w:proofErr w:type="spellEnd"/>
      <w:r w:rsidRPr="00004507">
        <w:rPr>
          <w:rStyle w:val="element-citation"/>
          <w:rFonts w:ascii="Arial" w:hAnsi="Arial" w:cs="Arial"/>
          <w:color w:val="000000" w:themeColor="text1"/>
          <w:lang w:val="en-US"/>
        </w:rPr>
        <w:t xml:space="preserve"> Z (2007) Ocular pseudoexfoliation syndrome and internal systemic diseases. </w:t>
      </w:r>
      <w:proofErr w:type="spellStart"/>
      <w:r w:rsidRPr="00004507">
        <w:rPr>
          <w:rStyle w:val="ref-journal"/>
          <w:rFonts w:ascii="Arial" w:hAnsi="Arial" w:cs="Arial"/>
          <w:color w:val="000000" w:themeColor="text1"/>
          <w:lang w:val="en-US"/>
        </w:rPr>
        <w:t>Acta</w:t>
      </w:r>
      <w:proofErr w:type="spellEnd"/>
      <w:r w:rsidRPr="00004507">
        <w:rPr>
          <w:rStyle w:val="ref-journal"/>
          <w:rFonts w:ascii="Arial" w:hAnsi="Arial" w:cs="Arial"/>
          <w:color w:val="000000" w:themeColor="text1"/>
          <w:lang w:val="en-US"/>
        </w:rPr>
        <w:t xml:space="preserve"> </w:t>
      </w:r>
      <w:proofErr w:type="spellStart"/>
      <w:r w:rsidRPr="00004507">
        <w:rPr>
          <w:rStyle w:val="ref-journal"/>
          <w:rFonts w:ascii="Arial" w:hAnsi="Arial" w:cs="Arial"/>
          <w:color w:val="000000" w:themeColor="text1"/>
          <w:lang w:val="en-US"/>
        </w:rPr>
        <w:t>Clin</w:t>
      </w:r>
      <w:proofErr w:type="spellEnd"/>
      <w:r w:rsidRPr="00004507">
        <w:rPr>
          <w:rStyle w:val="ref-journal"/>
          <w:rFonts w:ascii="Arial" w:hAnsi="Arial" w:cs="Arial"/>
          <w:color w:val="000000" w:themeColor="text1"/>
          <w:lang w:val="en-US"/>
        </w:rPr>
        <w:t xml:space="preserve"> Croat</w:t>
      </w:r>
      <w:r w:rsidRPr="00004507">
        <w:rPr>
          <w:rStyle w:val="element-citation"/>
          <w:rFonts w:ascii="Arial" w:hAnsi="Arial" w:cs="Arial"/>
          <w:color w:val="000000" w:themeColor="text1"/>
          <w:lang w:val="en-US"/>
        </w:rPr>
        <w:t xml:space="preserve"> </w:t>
      </w:r>
      <w:r w:rsidRPr="00004507">
        <w:rPr>
          <w:rStyle w:val="ref-vol"/>
          <w:rFonts w:ascii="Arial" w:hAnsi="Arial" w:cs="Arial"/>
          <w:color w:val="000000" w:themeColor="text1"/>
          <w:lang w:val="en-US"/>
        </w:rPr>
        <w:t>46</w:t>
      </w:r>
      <w:r w:rsidRPr="00004507">
        <w:rPr>
          <w:rStyle w:val="element-citation"/>
          <w:rFonts w:ascii="Arial" w:hAnsi="Arial" w:cs="Arial"/>
          <w:color w:val="000000" w:themeColor="text1"/>
          <w:lang w:val="en-US"/>
        </w:rPr>
        <w:t>(</w:t>
      </w:r>
      <w:proofErr w:type="spellStart"/>
      <w:r w:rsidRPr="00004507">
        <w:rPr>
          <w:rStyle w:val="element-citation"/>
          <w:rFonts w:ascii="Arial" w:hAnsi="Arial" w:cs="Arial"/>
          <w:color w:val="000000" w:themeColor="text1"/>
          <w:lang w:val="en-US"/>
        </w:rPr>
        <w:t>Supp</w:t>
      </w:r>
      <w:proofErr w:type="spellEnd"/>
      <w:r w:rsidRPr="00004507">
        <w:rPr>
          <w:rStyle w:val="element-citation"/>
          <w:rFonts w:ascii="Arial" w:hAnsi="Arial" w:cs="Arial"/>
          <w:color w:val="000000" w:themeColor="text1"/>
          <w:lang w:val="en-US"/>
        </w:rPr>
        <w:t xml:space="preserve"> 1):57-61.</w:t>
      </w:r>
    </w:p>
    <w:p w14:paraId="255A7594"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proofErr w:type="spellStart"/>
      <w:r w:rsidRPr="00004507">
        <w:rPr>
          <w:rStyle w:val="element-citation"/>
          <w:rFonts w:ascii="Arial" w:hAnsi="Arial" w:cs="Arial"/>
          <w:color w:val="000000" w:themeColor="text1"/>
          <w:lang w:val="en-US"/>
        </w:rPr>
        <w:t>Allingham</w:t>
      </w:r>
      <w:proofErr w:type="spellEnd"/>
      <w:r w:rsidRPr="00004507">
        <w:rPr>
          <w:rStyle w:val="element-citation"/>
          <w:rFonts w:ascii="Arial" w:hAnsi="Arial" w:cs="Arial"/>
          <w:color w:val="000000" w:themeColor="text1"/>
          <w:lang w:val="en-US"/>
        </w:rPr>
        <w:t xml:space="preserve"> RR, </w:t>
      </w:r>
      <w:proofErr w:type="spellStart"/>
      <w:r w:rsidRPr="00004507">
        <w:rPr>
          <w:rStyle w:val="element-citation"/>
          <w:rFonts w:ascii="Arial" w:hAnsi="Arial" w:cs="Arial"/>
          <w:color w:val="000000" w:themeColor="text1"/>
          <w:lang w:val="en-US"/>
        </w:rPr>
        <w:t>Loftsdottir</w:t>
      </w:r>
      <w:proofErr w:type="spellEnd"/>
      <w:r w:rsidRPr="00004507">
        <w:rPr>
          <w:rStyle w:val="element-citation"/>
          <w:rFonts w:ascii="Arial" w:hAnsi="Arial" w:cs="Arial"/>
          <w:color w:val="000000" w:themeColor="text1"/>
          <w:lang w:val="en-US"/>
        </w:rPr>
        <w:t xml:space="preserve"> M, </w:t>
      </w:r>
      <w:proofErr w:type="spellStart"/>
      <w:r w:rsidRPr="00004507">
        <w:rPr>
          <w:rStyle w:val="element-citation"/>
          <w:rFonts w:ascii="Arial" w:hAnsi="Arial" w:cs="Arial"/>
          <w:color w:val="000000" w:themeColor="text1"/>
          <w:lang w:val="en-US"/>
        </w:rPr>
        <w:t>Gottfredsdottir</w:t>
      </w:r>
      <w:proofErr w:type="spellEnd"/>
      <w:r w:rsidRPr="00004507">
        <w:rPr>
          <w:rStyle w:val="element-citation"/>
          <w:rFonts w:ascii="Arial" w:hAnsi="Arial" w:cs="Arial"/>
          <w:color w:val="000000" w:themeColor="text1"/>
          <w:lang w:val="en-US"/>
        </w:rPr>
        <w:t xml:space="preserve"> MS, </w:t>
      </w:r>
      <w:proofErr w:type="spellStart"/>
      <w:r w:rsidRPr="00004507">
        <w:rPr>
          <w:rStyle w:val="element-citation"/>
          <w:rFonts w:ascii="Arial" w:hAnsi="Arial" w:cs="Arial"/>
          <w:color w:val="000000" w:themeColor="text1"/>
          <w:lang w:val="en-US"/>
        </w:rPr>
        <w:t>Thorgeirsson</w:t>
      </w:r>
      <w:proofErr w:type="spellEnd"/>
      <w:r w:rsidRPr="00004507">
        <w:rPr>
          <w:rStyle w:val="element-citation"/>
          <w:rFonts w:ascii="Arial" w:hAnsi="Arial" w:cs="Arial"/>
          <w:color w:val="000000" w:themeColor="text1"/>
          <w:lang w:val="en-US"/>
        </w:rPr>
        <w:t xml:space="preserve"> E, </w:t>
      </w:r>
      <w:proofErr w:type="spellStart"/>
      <w:r w:rsidRPr="00004507">
        <w:rPr>
          <w:rStyle w:val="element-citation"/>
          <w:rFonts w:ascii="Arial" w:hAnsi="Arial" w:cs="Arial"/>
          <w:color w:val="000000" w:themeColor="text1"/>
          <w:lang w:val="en-US"/>
        </w:rPr>
        <w:t>Jonasson</w:t>
      </w:r>
      <w:proofErr w:type="spellEnd"/>
      <w:r w:rsidRPr="00004507">
        <w:rPr>
          <w:rStyle w:val="element-citation"/>
          <w:rFonts w:ascii="Arial" w:hAnsi="Arial" w:cs="Arial"/>
          <w:color w:val="000000" w:themeColor="text1"/>
          <w:lang w:val="en-US"/>
        </w:rPr>
        <w:t xml:space="preserve"> F, </w:t>
      </w:r>
      <w:proofErr w:type="spellStart"/>
      <w:r w:rsidRPr="00004507">
        <w:rPr>
          <w:rStyle w:val="element-citation"/>
          <w:rFonts w:ascii="Arial" w:hAnsi="Arial" w:cs="Arial"/>
          <w:color w:val="000000" w:themeColor="text1"/>
          <w:lang w:val="en-US"/>
        </w:rPr>
        <w:t>Sverisson</w:t>
      </w:r>
      <w:proofErr w:type="spellEnd"/>
      <w:r w:rsidRPr="00004507">
        <w:rPr>
          <w:rStyle w:val="element-citation"/>
          <w:rFonts w:ascii="Arial" w:hAnsi="Arial" w:cs="Arial"/>
          <w:color w:val="000000" w:themeColor="text1"/>
          <w:lang w:val="en-US"/>
        </w:rPr>
        <w:t xml:space="preserve"> T, Hodge WG, </w:t>
      </w:r>
      <w:proofErr w:type="spellStart"/>
      <w:r w:rsidRPr="00004507">
        <w:rPr>
          <w:rStyle w:val="element-citation"/>
          <w:rFonts w:ascii="Arial" w:hAnsi="Arial" w:cs="Arial"/>
          <w:color w:val="000000" w:themeColor="text1"/>
          <w:lang w:val="en-US"/>
        </w:rPr>
        <w:t>Damji</w:t>
      </w:r>
      <w:proofErr w:type="spellEnd"/>
      <w:r w:rsidRPr="00004507">
        <w:rPr>
          <w:rStyle w:val="element-citation"/>
          <w:rFonts w:ascii="Arial" w:hAnsi="Arial" w:cs="Arial"/>
          <w:color w:val="000000" w:themeColor="text1"/>
          <w:lang w:val="en-US"/>
        </w:rPr>
        <w:t xml:space="preserve"> KF, </w:t>
      </w:r>
      <w:proofErr w:type="spellStart"/>
      <w:r w:rsidRPr="00004507">
        <w:rPr>
          <w:rStyle w:val="element-citation"/>
          <w:rFonts w:ascii="Arial" w:hAnsi="Arial" w:cs="Arial"/>
          <w:color w:val="000000" w:themeColor="text1"/>
          <w:lang w:val="en-US"/>
        </w:rPr>
        <w:t>Stefánsson</w:t>
      </w:r>
      <w:proofErr w:type="spellEnd"/>
      <w:r w:rsidRPr="00004507">
        <w:rPr>
          <w:rStyle w:val="element-citation"/>
          <w:rFonts w:ascii="Arial" w:hAnsi="Arial" w:cs="Arial"/>
          <w:color w:val="000000" w:themeColor="text1"/>
          <w:lang w:val="en-US"/>
        </w:rPr>
        <w:t xml:space="preserve"> E (2001) Pseudoexfoliation syndrome in Icelandic families. </w:t>
      </w:r>
      <w:r w:rsidRPr="00004507">
        <w:rPr>
          <w:rStyle w:val="ref-journal"/>
          <w:rFonts w:ascii="Arial" w:hAnsi="Arial" w:cs="Arial"/>
          <w:color w:val="000000" w:themeColor="text1"/>
          <w:lang w:val="en-US"/>
        </w:rPr>
        <w:t xml:space="preserve">Br J </w:t>
      </w:r>
      <w:proofErr w:type="spellStart"/>
      <w:r w:rsidRPr="00004507">
        <w:rPr>
          <w:rStyle w:val="ref-journal"/>
          <w:rFonts w:ascii="Arial" w:hAnsi="Arial" w:cs="Arial"/>
          <w:color w:val="000000" w:themeColor="text1"/>
          <w:lang w:val="en-US"/>
        </w:rPr>
        <w:t>Ophthalmol</w:t>
      </w:r>
      <w:proofErr w:type="spellEnd"/>
      <w:r w:rsidRPr="00004507">
        <w:rPr>
          <w:rStyle w:val="element-citation"/>
          <w:rFonts w:ascii="Arial" w:hAnsi="Arial" w:cs="Arial"/>
          <w:color w:val="000000" w:themeColor="text1"/>
          <w:lang w:val="en-US"/>
        </w:rPr>
        <w:t xml:space="preserve"> </w:t>
      </w:r>
      <w:r w:rsidRPr="00004507">
        <w:rPr>
          <w:rStyle w:val="ref-vol"/>
          <w:rFonts w:ascii="Arial" w:hAnsi="Arial" w:cs="Arial"/>
          <w:color w:val="000000" w:themeColor="text1"/>
          <w:lang w:val="en-US"/>
        </w:rPr>
        <w:t>85:</w:t>
      </w:r>
      <w:r w:rsidRPr="00004507">
        <w:rPr>
          <w:rStyle w:val="element-citation"/>
          <w:rFonts w:ascii="Arial" w:hAnsi="Arial" w:cs="Arial"/>
          <w:color w:val="000000" w:themeColor="text1"/>
          <w:lang w:val="en-US"/>
        </w:rPr>
        <w:t>702-707. </w:t>
      </w:r>
    </w:p>
    <w:p w14:paraId="1A5D689D"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r w:rsidRPr="00004507">
        <w:rPr>
          <w:rFonts w:ascii="Arial" w:hAnsi="Arial" w:cs="Arial"/>
          <w:color w:val="000000" w:themeColor="text1"/>
          <w:lang w:val="en-US"/>
        </w:rPr>
        <w:t>http://dx.doi.org/10.1136/bjo.85.6.702</w:t>
      </w:r>
    </w:p>
    <w:p w14:paraId="0C830B35"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proofErr w:type="spellStart"/>
      <w:r w:rsidRPr="00004507">
        <w:rPr>
          <w:rStyle w:val="element-citation"/>
          <w:rFonts w:ascii="Arial" w:hAnsi="Arial" w:cs="Arial"/>
          <w:color w:val="000000" w:themeColor="text1"/>
          <w:lang w:val="en-US"/>
        </w:rPr>
        <w:t>Viso</w:t>
      </w:r>
      <w:proofErr w:type="spellEnd"/>
      <w:r w:rsidRPr="00004507">
        <w:rPr>
          <w:rStyle w:val="element-citation"/>
          <w:rFonts w:ascii="Arial" w:hAnsi="Arial" w:cs="Arial"/>
          <w:color w:val="000000" w:themeColor="text1"/>
          <w:lang w:val="en-US"/>
        </w:rPr>
        <w:t xml:space="preserve"> E, Rodríguez-Ares MT, </w:t>
      </w:r>
      <w:proofErr w:type="spellStart"/>
      <w:r w:rsidRPr="00004507">
        <w:rPr>
          <w:rStyle w:val="element-citation"/>
          <w:rFonts w:ascii="Arial" w:hAnsi="Arial" w:cs="Arial"/>
          <w:color w:val="000000" w:themeColor="text1"/>
          <w:lang w:val="en-US"/>
        </w:rPr>
        <w:t>Gude</w:t>
      </w:r>
      <w:proofErr w:type="spellEnd"/>
      <w:r w:rsidRPr="00004507">
        <w:rPr>
          <w:rStyle w:val="element-citation"/>
          <w:rFonts w:ascii="Arial" w:hAnsi="Arial" w:cs="Arial"/>
          <w:color w:val="000000" w:themeColor="text1"/>
          <w:lang w:val="en-US"/>
        </w:rPr>
        <w:t xml:space="preserve"> F (2010) Prevalence of pseudoexfoliation syndrome among adult Spanish in the </w:t>
      </w:r>
      <w:proofErr w:type="spellStart"/>
      <w:r w:rsidRPr="00004507">
        <w:rPr>
          <w:rStyle w:val="element-citation"/>
          <w:rFonts w:ascii="Arial" w:hAnsi="Arial" w:cs="Arial"/>
          <w:color w:val="000000" w:themeColor="text1"/>
          <w:lang w:val="en-US"/>
        </w:rPr>
        <w:t>Salnés</w:t>
      </w:r>
      <w:proofErr w:type="spellEnd"/>
      <w:r w:rsidRPr="00004507">
        <w:rPr>
          <w:rStyle w:val="element-citation"/>
          <w:rFonts w:ascii="Arial" w:hAnsi="Arial" w:cs="Arial"/>
          <w:color w:val="000000" w:themeColor="text1"/>
          <w:lang w:val="en-US"/>
        </w:rPr>
        <w:t xml:space="preserve"> eye Study. </w:t>
      </w:r>
      <w:r w:rsidRPr="00004507">
        <w:rPr>
          <w:rStyle w:val="ref-journal"/>
          <w:rFonts w:ascii="Arial" w:hAnsi="Arial" w:cs="Arial"/>
          <w:color w:val="000000" w:themeColor="text1"/>
          <w:lang w:val="en-US"/>
        </w:rPr>
        <w:t xml:space="preserve">Ophthalmic </w:t>
      </w:r>
      <w:proofErr w:type="spellStart"/>
      <w:r w:rsidRPr="00004507">
        <w:rPr>
          <w:rStyle w:val="ref-journal"/>
          <w:rFonts w:ascii="Arial" w:hAnsi="Arial" w:cs="Arial"/>
          <w:color w:val="000000" w:themeColor="text1"/>
          <w:lang w:val="en-US"/>
        </w:rPr>
        <w:t>Epidemiol</w:t>
      </w:r>
      <w:proofErr w:type="spellEnd"/>
      <w:r w:rsidRPr="00004507">
        <w:rPr>
          <w:rStyle w:val="ref-journal"/>
          <w:rFonts w:ascii="Arial" w:hAnsi="Arial" w:cs="Arial"/>
          <w:color w:val="000000" w:themeColor="text1"/>
          <w:lang w:val="en-US"/>
        </w:rPr>
        <w:t xml:space="preserve"> </w:t>
      </w:r>
      <w:r w:rsidRPr="00004507">
        <w:rPr>
          <w:rStyle w:val="ref-vol"/>
          <w:rFonts w:ascii="Arial" w:hAnsi="Arial" w:cs="Arial"/>
          <w:color w:val="000000" w:themeColor="text1"/>
          <w:lang w:val="en-US"/>
        </w:rPr>
        <w:t>17</w:t>
      </w:r>
      <w:r w:rsidRPr="00004507">
        <w:rPr>
          <w:rStyle w:val="element-citation"/>
          <w:rFonts w:ascii="Arial" w:hAnsi="Arial" w:cs="Arial"/>
          <w:color w:val="000000" w:themeColor="text1"/>
          <w:lang w:val="en-US"/>
        </w:rPr>
        <w:t>:118-124. </w:t>
      </w:r>
    </w:p>
    <w:p w14:paraId="1A519E43"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r w:rsidRPr="00004507">
        <w:rPr>
          <w:rStyle w:val="element-citation"/>
          <w:rFonts w:ascii="Arial" w:hAnsi="Arial" w:cs="Arial"/>
          <w:color w:val="000000" w:themeColor="text1"/>
          <w:lang w:val="en-US"/>
        </w:rPr>
        <w:t>https://doi.org/</w:t>
      </w:r>
      <w:r w:rsidRPr="00004507">
        <w:rPr>
          <w:rFonts w:ascii="Arial" w:hAnsi="Arial" w:cs="Arial"/>
          <w:color w:val="000000" w:themeColor="text1"/>
          <w:shd w:val="clear" w:color="auto" w:fill="FFFFFF"/>
          <w:lang w:val="en-US"/>
        </w:rPr>
        <w:t>10.3109/09286581003624970</w:t>
      </w:r>
    </w:p>
    <w:p w14:paraId="4831380C"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Style w:val="element-citation"/>
          <w:rFonts w:ascii="Arial" w:hAnsi="Arial" w:cs="Arial"/>
          <w:color w:val="000000" w:themeColor="text1"/>
          <w:lang w:val="en-US"/>
        </w:rPr>
      </w:pPr>
      <w:r w:rsidRPr="00004507">
        <w:rPr>
          <w:rStyle w:val="element-citation"/>
          <w:rFonts w:ascii="Arial" w:hAnsi="Arial" w:cs="Arial"/>
          <w:color w:val="000000" w:themeColor="text1"/>
          <w:lang w:val="en-US"/>
        </w:rPr>
        <w:t xml:space="preserve">Praveen MR, Shah SK, </w:t>
      </w:r>
      <w:proofErr w:type="spellStart"/>
      <w:r w:rsidRPr="00004507">
        <w:rPr>
          <w:rStyle w:val="element-citation"/>
          <w:rFonts w:ascii="Arial" w:hAnsi="Arial" w:cs="Arial"/>
          <w:color w:val="000000" w:themeColor="text1"/>
          <w:lang w:val="en-US"/>
        </w:rPr>
        <w:t>Vasavada</w:t>
      </w:r>
      <w:proofErr w:type="spellEnd"/>
      <w:r w:rsidRPr="00004507">
        <w:rPr>
          <w:rStyle w:val="element-citation"/>
          <w:rFonts w:ascii="Arial" w:hAnsi="Arial" w:cs="Arial"/>
          <w:color w:val="000000" w:themeColor="text1"/>
          <w:lang w:val="en-US"/>
        </w:rPr>
        <w:t xml:space="preserve"> AR, </w:t>
      </w:r>
      <w:proofErr w:type="spellStart"/>
      <w:r w:rsidRPr="00004507">
        <w:rPr>
          <w:rStyle w:val="element-citation"/>
          <w:rFonts w:ascii="Arial" w:hAnsi="Arial" w:cs="Arial"/>
          <w:color w:val="000000" w:themeColor="text1"/>
          <w:lang w:val="en-US"/>
        </w:rPr>
        <w:t>Diwan</w:t>
      </w:r>
      <w:proofErr w:type="spellEnd"/>
      <w:r w:rsidRPr="00004507">
        <w:rPr>
          <w:rStyle w:val="element-citation"/>
          <w:rFonts w:ascii="Arial" w:hAnsi="Arial" w:cs="Arial"/>
          <w:color w:val="000000" w:themeColor="text1"/>
          <w:lang w:val="en-US"/>
        </w:rPr>
        <w:t xml:space="preserve"> RP, Shah SM, </w:t>
      </w:r>
      <w:proofErr w:type="spellStart"/>
      <w:r w:rsidRPr="00004507">
        <w:rPr>
          <w:rStyle w:val="element-citation"/>
          <w:rFonts w:ascii="Arial" w:hAnsi="Arial" w:cs="Arial"/>
          <w:color w:val="000000" w:themeColor="text1"/>
          <w:lang w:val="en-US"/>
        </w:rPr>
        <w:t>Zumkhawala</w:t>
      </w:r>
      <w:proofErr w:type="spellEnd"/>
      <w:r w:rsidRPr="00004507">
        <w:rPr>
          <w:rStyle w:val="element-citation"/>
          <w:rFonts w:ascii="Arial" w:hAnsi="Arial" w:cs="Arial"/>
          <w:color w:val="000000" w:themeColor="text1"/>
          <w:lang w:val="en-US"/>
        </w:rPr>
        <w:t xml:space="preserve"> BR, </w:t>
      </w:r>
      <w:r w:rsidRPr="00004507">
        <w:rPr>
          <w:rStyle w:val="element-citation"/>
          <w:rFonts w:ascii="Arial" w:hAnsi="Arial" w:cs="Arial"/>
          <w:color w:val="000000" w:themeColor="text1"/>
          <w:lang w:val="en-US"/>
        </w:rPr>
        <w:lastRenderedPageBreak/>
        <w:t>Thomas R (2011) Pseudoexfoliation as a risk factor for peripheral vascular disease: a case-control study. </w:t>
      </w:r>
      <w:r w:rsidRPr="00004507">
        <w:rPr>
          <w:rStyle w:val="ref-journal"/>
          <w:rFonts w:ascii="Arial" w:hAnsi="Arial" w:cs="Arial"/>
          <w:color w:val="000000" w:themeColor="text1"/>
          <w:lang w:val="en-US"/>
        </w:rPr>
        <w:t>Eye (</w:t>
      </w:r>
      <w:proofErr w:type="spellStart"/>
      <w:r w:rsidRPr="00004507">
        <w:rPr>
          <w:rStyle w:val="ref-journal"/>
          <w:rFonts w:ascii="Arial" w:hAnsi="Arial" w:cs="Arial"/>
          <w:color w:val="000000" w:themeColor="text1"/>
          <w:lang w:val="en-US"/>
        </w:rPr>
        <w:t>Lond</w:t>
      </w:r>
      <w:proofErr w:type="spellEnd"/>
      <w:r w:rsidRPr="00004507">
        <w:rPr>
          <w:rStyle w:val="ref-journal"/>
          <w:rFonts w:ascii="Arial" w:hAnsi="Arial" w:cs="Arial"/>
          <w:color w:val="000000" w:themeColor="text1"/>
          <w:lang w:val="en-US"/>
        </w:rPr>
        <w:t>) </w:t>
      </w:r>
      <w:r w:rsidRPr="00004507">
        <w:rPr>
          <w:rStyle w:val="ref-vol"/>
          <w:rFonts w:ascii="Arial" w:hAnsi="Arial" w:cs="Arial"/>
          <w:color w:val="000000" w:themeColor="text1"/>
          <w:lang w:val="en-US"/>
        </w:rPr>
        <w:t>25</w:t>
      </w:r>
      <w:r w:rsidRPr="00004507">
        <w:rPr>
          <w:rStyle w:val="element-citation"/>
          <w:rFonts w:ascii="Arial" w:hAnsi="Arial" w:cs="Arial"/>
          <w:color w:val="000000" w:themeColor="text1"/>
          <w:lang w:val="en-US"/>
        </w:rPr>
        <w:t>:174-179. </w:t>
      </w:r>
    </w:p>
    <w:p w14:paraId="233FF7AF"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hAnsi="Arial" w:cs="Arial"/>
          <w:color w:val="000000" w:themeColor="text1"/>
          <w:lang w:val="en-US"/>
        </w:rPr>
      </w:pPr>
      <w:r w:rsidRPr="00004507">
        <w:rPr>
          <w:rStyle w:val="element-citation"/>
          <w:rFonts w:ascii="Arial" w:hAnsi="Arial" w:cs="Arial"/>
          <w:color w:val="000000" w:themeColor="text1"/>
          <w:lang w:val="en-US"/>
        </w:rPr>
        <w:t>https://doi.org/</w:t>
      </w:r>
      <w:r w:rsidRPr="00004507">
        <w:rPr>
          <w:rFonts w:ascii="Arial" w:hAnsi="Arial" w:cs="Arial"/>
          <w:color w:val="000000" w:themeColor="text1"/>
          <w:shd w:val="clear" w:color="auto" w:fill="FFFFFF"/>
          <w:lang w:val="en-US"/>
        </w:rPr>
        <w:t>10.1038/eye.2010.175</w:t>
      </w:r>
    </w:p>
    <w:p w14:paraId="680DA773"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Style w:val="element-citation"/>
          <w:rFonts w:ascii="Arial" w:hAnsi="Arial" w:cs="Arial"/>
          <w:iCs/>
          <w:color w:val="000000" w:themeColor="text1"/>
          <w:lang w:val="en-US"/>
        </w:rPr>
      </w:pPr>
      <w:proofErr w:type="spellStart"/>
      <w:r w:rsidRPr="00004507">
        <w:rPr>
          <w:rStyle w:val="element-citation"/>
          <w:rFonts w:ascii="Arial" w:hAnsi="Arial" w:cs="Arial"/>
          <w:color w:val="000000" w:themeColor="text1"/>
          <w:lang w:val="en-US"/>
        </w:rPr>
        <w:t>Spečkauskas</w:t>
      </w:r>
      <w:proofErr w:type="spellEnd"/>
      <w:r w:rsidRPr="00004507">
        <w:rPr>
          <w:rStyle w:val="element-citation"/>
          <w:rFonts w:ascii="Arial" w:hAnsi="Arial" w:cs="Arial"/>
          <w:color w:val="000000" w:themeColor="text1"/>
          <w:lang w:val="en-US"/>
        </w:rPr>
        <w:t xml:space="preserve"> M, </w:t>
      </w:r>
      <w:proofErr w:type="spellStart"/>
      <w:r w:rsidRPr="00004507">
        <w:rPr>
          <w:rStyle w:val="element-citation"/>
          <w:rFonts w:ascii="Arial" w:hAnsi="Arial" w:cs="Arial"/>
          <w:color w:val="000000" w:themeColor="text1"/>
          <w:lang w:val="en-US"/>
        </w:rPr>
        <w:t>Tamošiūnas</w:t>
      </w:r>
      <w:proofErr w:type="spellEnd"/>
      <w:r w:rsidRPr="00004507">
        <w:rPr>
          <w:rStyle w:val="element-citation"/>
          <w:rFonts w:ascii="Arial" w:hAnsi="Arial" w:cs="Arial"/>
          <w:color w:val="000000" w:themeColor="text1"/>
          <w:lang w:val="en-US"/>
        </w:rPr>
        <w:t xml:space="preserve"> A, </w:t>
      </w:r>
      <w:proofErr w:type="spellStart"/>
      <w:r w:rsidRPr="00004507">
        <w:rPr>
          <w:rStyle w:val="element-citation"/>
          <w:rFonts w:ascii="Arial" w:hAnsi="Arial" w:cs="Arial"/>
          <w:color w:val="000000" w:themeColor="text1"/>
          <w:lang w:val="en-US"/>
        </w:rPr>
        <w:t>Jašinskas</w:t>
      </w:r>
      <w:proofErr w:type="spellEnd"/>
      <w:r w:rsidRPr="00004507">
        <w:rPr>
          <w:rStyle w:val="element-citation"/>
          <w:rFonts w:ascii="Arial" w:hAnsi="Arial" w:cs="Arial"/>
          <w:color w:val="000000" w:themeColor="text1"/>
          <w:lang w:val="en-US"/>
        </w:rPr>
        <w:t xml:space="preserve"> V (2012) Association of ocular pseudoexfoliation syndrome with </w:t>
      </w:r>
      <w:proofErr w:type="spellStart"/>
      <w:r w:rsidRPr="00004507">
        <w:rPr>
          <w:rStyle w:val="element-citation"/>
          <w:rFonts w:ascii="Arial" w:hAnsi="Arial" w:cs="Arial"/>
          <w:color w:val="000000" w:themeColor="text1"/>
          <w:lang w:val="en-US"/>
        </w:rPr>
        <w:t>ischaemic</w:t>
      </w:r>
      <w:proofErr w:type="spellEnd"/>
      <w:r w:rsidRPr="00004507">
        <w:rPr>
          <w:rStyle w:val="element-citation"/>
          <w:rFonts w:ascii="Arial" w:hAnsi="Arial" w:cs="Arial"/>
          <w:color w:val="000000" w:themeColor="text1"/>
          <w:lang w:val="en-US"/>
        </w:rPr>
        <w:t xml:space="preserve"> heart disease, arterial hypertension and diabetes mellitus. </w:t>
      </w:r>
      <w:proofErr w:type="spellStart"/>
      <w:r w:rsidRPr="00004507">
        <w:rPr>
          <w:rStyle w:val="ref-journal"/>
          <w:rFonts w:ascii="Arial" w:hAnsi="Arial" w:cs="Arial"/>
          <w:color w:val="000000" w:themeColor="text1"/>
          <w:lang w:val="en-US"/>
        </w:rPr>
        <w:t>Acta</w:t>
      </w:r>
      <w:proofErr w:type="spellEnd"/>
      <w:r w:rsidRPr="00004507">
        <w:rPr>
          <w:rStyle w:val="ref-journal"/>
          <w:rFonts w:ascii="Arial" w:hAnsi="Arial" w:cs="Arial"/>
          <w:color w:val="000000" w:themeColor="text1"/>
          <w:lang w:val="en-US"/>
        </w:rPr>
        <w:t xml:space="preserve"> </w:t>
      </w:r>
      <w:proofErr w:type="spellStart"/>
      <w:r w:rsidRPr="00004507">
        <w:rPr>
          <w:rStyle w:val="ref-journal"/>
          <w:rFonts w:ascii="Arial" w:hAnsi="Arial" w:cs="Arial"/>
          <w:color w:val="000000" w:themeColor="text1"/>
          <w:lang w:val="en-US"/>
        </w:rPr>
        <w:t>Ophthalmol</w:t>
      </w:r>
      <w:proofErr w:type="spellEnd"/>
      <w:r w:rsidRPr="00004507">
        <w:rPr>
          <w:rStyle w:val="ref-journal"/>
          <w:rFonts w:ascii="Arial" w:hAnsi="Arial" w:cs="Arial"/>
          <w:color w:val="000000" w:themeColor="text1"/>
          <w:lang w:val="en-US"/>
        </w:rPr>
        <w:t> </w:t>
      </w:r>
      <w:r w:rsidRPr="00004507">
        <w:rPr>
          <w:rStyle w:val="ref-vol"/>
          <w:rFonts w:ascii="Arial" w:hAnsi="Arial" w:cs="Arial"/>
          <w:color w:val="000000" w:themeColor="text1"/>
          <w:lang w:val="en-US"/>
        </w:rPr>
        <w:t>90</w:t>
      </w:r>
      <w:r w:rsidRPr="00004507">
        <w:rPr>
          <w:rStyle w:val="element-citation"/>
          <w:rFonts w:ascii="Arial" w:hAnsi="Arial" w:cs="Arial"/>
          <w:color w:val="000000" w:themeColor="text1"/>
          <w:lang w:val="en-US"/>
        </w:rPr>
        <w:t xml:space="preserve">:e470-e475. </w:t>
      </w:r>
    </w:p>
    <w:p w14:paraId="6EDDCD6D" w14:textId="77777777" w:rsidR="00DB7DF3" w:rsidRPr="0000450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hAnsi="Arial" w:cs="Arial"/>
          <w:color w:val="000000" w:themeColor="text1"/>
          <w:shd w:val="clear" w:color="auto" w:fill="FFFFFF"/>
          <w:lang w:val="en-US"/>
        </w:rPr>
        <w:t>https://doi.org/10.1111/j.1755-3768.2012.02439.x</w:t>
      </w:r>
    </w:p>
    <w:p w14:paraId="4E1EC8F4" w14:textId="77777777" w:rsidR="00DB7DF3" w:rsidRPr="00004507" w:rsidRDefault="00DB7DF3" w:rsidP="00DB7DF3">
      <w:pPr>
        <w:pStyle w:val="ListeParagraf"/>
        <w:widowControl w:val="0"/>
        <w:numPr>
          <w:ilvl w:val="0"/>
          <w:numId w:val="5"/>
        </w:numPr>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proofErr w:type="spellStart"/>
      <w:r w:rsidRPr="00004507">
        <w:rPr>
          <w:rFonts w:ascii="Arial" w:eastAsia="Times New Roman" w:hAnsi="Arial" w:cs="Arial"/>
          <w:iCs/>
          <w:color w:val="000000" w:themeColor="text1"/>
          <w:lang w:val="en-US" w:eastAsia="tr-TR"/>
        </w:rPr>
        <w:t>Emiroglu</w:t>
      </w:r>
      <w:proofErr w:type="spellEnd"/>
      <w:r w:rsidRPr="00004507">
        <w:rPr>
          <w:rFonts w:ascii="Arial" w:eastAsia="Times New Roman" w:hAnsi="Arial" w:cs="Arial"/>
          <w:iCs/>
          <w:color w:val="000000" w:themeColor="text1"/>
          <w:lang w:val="en-US" w:eastAsia="tr-TR"/>
        </w:rPr>
        <w:t xml:space="preserve"> MY, </w:t>
      </w:r>
      <w:proofErr w:type="spellStart"/>
      <w:r w:rsidRPr="00004507">
        <w:rPr>
          <w:rFonts w:ascii="Arial" w:eastAsia="Times New Roman" w:hAnsi="Arial" w:cs="Arial"/>
          <w:iCs/>
          <w:color w:val="000000" w:themeColor="text1"/>
          <w:lang w:val="en-US" w:eastAsia="tr-TR"/>
        </w:rPr>
        <w:t>Coskun</w:t>
      </w:r>
      <w:proofErr w:type="spellEnd"/>
      <w:r w:rsidRPr="00004507">
        <w:rPr>
          <w:rFonts w:ascii="Arial" w:eastAsia="Times New Roman" w:hAnsi="Arial" w:cs="Arial"/>
          <w:iCs/>
          <w:color w:val="000000" w:themeColor="text1"/>
          <w:lang w:val="en-US" w:eastAsia="tr-TR"/>
        </w:rPr>
        <w:t xml:space="preserve"> E, </w:t>
      </w:r>
      <w:proofErr w:type="spellStart"/>
      <w:r w:rsidRPr="00004507">
        <w:rPr>
          <w:rFonts w:ascii="Arial" w:eastAsia="Times New Roman" w:hAnsi="Arial" w:cs="Arial"/>
          <w:iCs/>
          <w:color w:val="000000" w:themeColor="text1"/>
          <w:lang w:val="en-US" w:eastAsia="tr-TR"/>
        </w:rPr>
        <w:t>Karapinar</w:t>
      </w:r>
      <w:proofErr w:type="spellEnd"/>
      <w:r w:rsidRPr="00004507">
        <w:rPr>
          <w:rFonts w:ascii="Arial" w:eastAsia="Times New Roman" w:hAnsi="Arial" w:cs="Arial"/>
          <w:iCs/>
          <w:color w:val="000000" w:themeColor="text1"/>
          <w:lang w:val="en-US" w:eastAsia="tr-TR"/>
        </w:rPr>
        <w:t xml:space="preserve"> H, </w:t>
      </w:r>
      <w:proofErr w:type="spellStart"/>
      <w:r w:rsidRPr="00004507">
        <w:rPr>
          <w:rFonts w:ascii="Arial" w:eastAsia="Times New Roman" w:hAnsi="Arial" w:cs="Arial"/>
          <w:iCs/>
          <w:color w:val="000000" w:themeColor="text1"/>
          <w:lang w:val="en-US" w:eastAsia="tr-TR"/>
        </w:rPr>
        <w:t>Capkın</w:t>
      </w:r>
      <w:proofErr w:type="spellEnd"/>
      <w:r w:rsidRPr="00004507">
        <w:rPr>
          <w:rFonts w:ascii="Arial" w:eastAsia="Times New Roman" w:hAnsi="Arial" w:cs="Arial"/>
          <w:iCs/>
          <w:color w:val="000000" w:themeColor="text1"/>
          <w:lang w:val="en-US" w:eastAsia="tr-TR"/>
        </w:rPr>
        <w:t xml:space="preserve"> M, Kaya Z, Kaya H, </w:t>
      </w:r>
      <w:proofErr w:type="spellStart"/>
      <w:r w:rsidRPr="00004507">
        <w:rPr>
          <w:rFonts w:ascii="Arial" w:eastAsia="Times New Roman" w:hAnsi="Arial" w:cs="Arial"/>
          <w:iCs/>
          <w:color w:val="000000" w:themeColor="text1"/>
          <w:lang w:val="en-US" w:eastAsia="tr-TR"/>
        </w:rPr>
        <w:t>Akcakoyun</w:t>
      </w:r>
      <w:proofErr w:type="spellEnd"/>
      <w:r w:rsidRPr="00004507">
        <w:rPr>
          <w:rFonts w:ascii="Arial" w:eastAsia="Times New Roman" w:hAnsi="Arial" w:cs="Arial"/>
          <w:iCs/>
          <w:color w:val="000000" w:themeColor="text1"/>
          <w:lang w:val="en-US" w:eastAsia="tr-TR"/>
        </w:rPr>
        <w:t xml:space="preserve"> M, </w:t>
      </w:r>
      <w:proofErr w:type="spellStart"/>
      <w:r w:rsidRPr="00004507">
        <w:rPr>
          <w:rFonts w:ascii="Arial" w:eastAsia="Times New Roman" w:hAnsi="Arial" w:cs="Arial"/>
          <w:iCs/>
          <w:color w:val="000000" w:themeColor="text1"/>
          <w:lang w:val="en-US" w:eastAsia="tr-TR"/>
        </w:rPr>
        <w:t>Kargin</w:t>
      </w:r>
      <w:proofErr w:type="spellEnd"/>
      <w:r w:rsidRPr="00004507">
        <w:rPr>
          <w:rFonts w:ascii="Arial" w:eastAsia="Times New Roman" w:hAnsi="Arial" w:cs="Arial"/>
          <w:iCs/>
          <w:color w:val="000000" w:themeColor="text1"/>
          <w:lang w:val="en-US" w:eastAsia="tr-TR"/>
        </w:rPr>
        <w:t xml:space="preserve"> R, </w:t>
      </w:r>
      <w:proofErr w:type="spellStart"/>
      <w:r w:rsidRPr="00004507">
        <w:rPr>
          <w:rFonts w:ascii="Arial" w:eastAsia="Times New Roman" w:hAnsi="Arial" w:cs="Arial"/>
          <w:iCs/>
          <w:color w:val="000000" w:themeColor="text1"/>
          <w:lang w:val="en-US" w:eastAsia="tr-TR"/>
        </w:rPr>
        <w:t>Simsek</w:t>
      </w:r>
      <w:proofErr w:type="spellEnd"/>
      <w:r w:rsidRPr="00004507">
        <w:rPr>
          <w:rFonts w:ascii="Arial" w:eastAsia="Times New Roman" w:hAnsi="Arial" w:cs="Arial"/>
          <w:iCs/>
          <w:color w:val="000000" w:themeColor="text1"/>
          <w:lang w:val="en-US" w:eastAsia="tr-TR"/>
        </w:rPr>
        <w:t xml:space="preserve"> Z, </w:t>
      </w:r>
      <w:proofErr w:type="spellStart"/>
      <w:r w:rsidRPr="00004507">
        <w:rPr>
          <w:rFonts w:ascii="Arial" w:eastAsia="Times New Roman" w:hAnsi="Arial" w:cs="Arial"/>
          <w:iCs/>
          <w:color w:val="000000" w:themeColor="text1"/>
          <w:lang w:val="en-US" w:eastAsia="tr-TR"/>
        </w:rPr>
        <w:t>Acar</w:t>
      </w:r>
      <w:proofErr w:type="spellEnd"/>
      <w:r w:rsidRPr="00004507">
        <w:rPr>
          <w:rFonts w:ascii="Arial" w:eastAsia="Times New Roman" w:hAnsi="Arial" w:cs="Arial"/>
          <w:iCs/>
          <w:color w:val="000000" w:themeColor="text1"/>
          <w:lang w:val="en-US" w:eastAsia="tr-TR"/>
        </w:rPr>
        <w:t xml:space="preserve"> G, </w:t>
      </w:r>
      <w:proofErr w:type="spellStart"/>
      <w:r w:rsidRPr="00004507">
        <w:rPr>
          <w:rFonts w:ascii="Arial" w:eastAsia="Times New Roman" w:hAnsi="Arial" w:cs="Arial"/>
          <w:iCs/>
          <w:color w:val="000000" w:themeColor="text1"/>
          <w:lang w:val="en-US" w:eastAsia="tr-TR"/>
        </w:rPr>
        <w:t>Aung</w:t>
      </w:r>
      <w:proofErr w:type="spellEnd"/>
      <w:r w:rsidRPr="00004507">
        <w:rPr>
          <w:rFonts w:ascii="Arial" w:eastAsia="Times New Roman" w:hAnsi="Arial" w:cs="Arial"/>
          <w:iCs/>
          <w:color w:val="000000" w:themeColor="text1"/>
          <w:lang w:val="en-US" w:eastAsia="tr-TR"/>
        </w:rPr>
        <w:t xml:space="preserve"> SM, Pala S, </w:t>
      </w:r>
      <w:proofErr w:type="spellStart"/>
      <w:r w:rsidRPr="00004507">
        <w:rPr>
          <w:rFonts w:ascii="Arial" w:eastAsia="Times New Roman" w:hAnsi="Arial" w:cs="Arial"/>
          <w:iCs/>
          <w:color w:val="000000" w:themeColor="text1"/>
          <w:lang w:val="en-US" w:eastAsia="tr-TR"/>
        </w:rPr>
        <w:t>Ozdemir</w:t>
      </w:r>
      <w:proofErr w:type="spellEnd"/>
      <w:r w:rsidRPr="00004507">
        <w:rPr>
          <w:rFonts w:ascii="Arial" w:eastAsia="Times New Roman" w:hAnsi="Arial" w:cs="Arial"/>
          <w:iCs/>
          <w:color w:val="000000" w:themeColor="text1"/>
          <w:lang w:val="en-US" w:eastAsia="tr-TR"/>
        </w:rPr>
        <w:t xml:space="preserve"> B, </w:t>
      </w:r>
      <w:proofErr w:type="spellStart"/>
      <w:r w:rsidRPr="00004507">
        <w:rPr>
          <w:rFonts w:ascii="Arial" w:eastAsia="Times New Roman" w:hAnsi="Arial" w:cs="Arial"/>
          <w:iCs/>
          <w:color w:val="000000" w:themeColor="text1"/>
          <w:lang w:val="en-US" w:eastAsia="tr-TR"/>
        </w:rPr>
        <w:t>Esen</w:t>
      </w:r>
      <w:proofErr w:type="spellEnd"/>
      <w:r w:rsidRPr="00004507">
        <w:rPr>
          <w:rFonts w:ascii="Arial" w:eastAsia="Times New Roman" w:hAnsi="Arial" w:cs="Arial"/>
          <w:iCs/>
          <w:color w:val="000000" w:themeColor="text1"/>
          <w:lang w:val="en-US" w:eastAsia="tr-TR"/>
        </w:rPr>
        <w:t xml:space="preserve"> AM, </w:t>
      </w:r>
      <w:proofErr w:type="spellStart"/>
      <w:r w:rsidRPr="00004507">
        <w:rPr>
          <w:rFonts w:ascii="Arial" w:eastAsia="Times New Roman" w:hAnsi="Arial" w:cs="Arial"/>
          <w:iCs/>
          <w:color w:val="000000" w:themeColor="text1"/>
          <w:lang w:val="en-US" w:eastAsia="tr-TR"/>
        </w:rPr>
        <w:t>Kırma</w:t>
      </w:r>
      <w:proofErr w:type="spellEnd"/>
      <w:r w:rsidRPr="00004507">
        <w:rPr>
          <w:rFonts w:ascii="Arial" w:eastAsia="Times New Roman" w:hAnsi="Arial" w:cs="Arial"/>
          <w:iCs/>
          <w:color w:val="000000" w:themeColor="text1"/>
          <w:lang w:val="en-US" w:eastAsia="tr-TR"/>
        </w:rPr>
        <w:t xml:space="preserve"> C</w:t>
      </w:r>
      <w:r w:rsidRPr="00004507">
        <w:rPr>
          <w:rFonts w:ascii="Arial" w:eastAsia="Times New Roman" w:hAnsi="Arial" w:cs="Arial"/>
          <w:color w:val="000000" w:themeColor="text1"/>
          <w:shd w:val="clear" w:color="auto" w:fill="FFFFFF"/>
          <w:lang w:val="en-US" w:eastAsia="tr-TR"/>
        </w:rPr>
        <w:t xml:space="preserve"> (</w:t>
      </w:r>
      <w:r w:rsidRPr="00004507">
        <w:rPr>
          <w:rFonts w:ascii="Arial" w:eastAsia="Times New Roman" w:hAnsi="Arial" w:cs="Arial"/>
          <w:iCs/>
          <w:color w:val="000000" w:themeColor="text1"/>
          <w:lang w:val="en-US" w:eastAsia="tr-TR"/>
        </w:rPr>
        <w:t xml:space="preserve">2010) </w:t>
      </w:r>
      <w:r w:rsidRPr="00004507">
        <w:rPr>
          <w:rFonts w:ascii="Arial" w:eastAsia="Times New Roman" w:hAnsi="Arial" w:cs="Arial"/>
          <w:color w:val="000000" w:themeColor="text1"/>
          <w:shd w:val="clear" w:color="auto" w:fill="FFFFFF"/>
          <w:lang w:val="en-US" w:eastAsia="tr-TR"/>
        </w:rPr>
        <w:t xml:space="preserve">Is pseudoexfoliation syndrome associated with coronary artery disease? </w:t>
      </w:r>
      <w:r w:rsidRPr="00004507">
        <w:rPr>
          <w:rFonts w:ascii="Arial" w:eastAsia="Times New Roman" w:hAnsi="Arial" w:cs="Arial"/>
          <w:iCs/>
          <w:color w:val="000000" w:themeColor="text1"/>
          <w:lang w:val="en-US" w:eastAsia="tr-TR"/>
        </w:rPr>
        <w:t xml:space="preserve">N Am J Med </w:t>
      </w:r>
      <w:proofErr w:type="spellStart"/>
      <w:r w:rsidRPr="00004507">
        <w:rPr>
          <w:rFonts w:ascii="Arial" w:eastAsia="Times New Roman" w:hAnsi="Arial" w:cs="Arial"/>
          <w:iCs/>
          <w:color w:val="000000" w:themeColor="text1"/>
          <w:lang w:val="en-US" w:eastAsia="tr-TR"/>
        </w:rPr>
        <w:t>Sci</w:t>
      </w:r>
      <w:proofErr w:type="spellEnd"/>
      <w:r w:rsidRPr="00004507">
        <w:rPr>
          <w:rFonts w:ascii="Arial" w:eastAsia="Times New Roman" w:hAnsi="Arial" w:cs="Arial"/>
          <w:iCs/>
          <w:color w:val="000000" w:themeColor="text1"/>
          <w:lang w:val="en-US" w:eastAsia="tr-TR"/>
        </w:rPr>
        <w:t xml:space="preserve"> 2(10):487-90. </w:t>
      </w:r>
    </w:p>
    <w:p w14:paraId="0E102A4F" w14:textId="77777777" w:rsidR="00DB7DF3" w:rsidRPr="00FE6287" w:rsidRDefault="00DB7DF3" w:rsidP="00DB7DF3">
      <w:pPr>
        <w:pStyle w:val="ListeParagraf"/>
        <w:widowControl w:val="0"/>
        <w:shd w:val="clear" w:color="auto" w:fill="FFFFFF"/>
        <w:suppressAutoHyphens/>
        <w:autoSpaceDE w:val="0"/>
        <w:autoSpaceDN w:val="0"/>
        <w:adjustRightInd w:val="0"/>
        <w:spacing w:before="120" w:after="0" w:line="240" w:lineRule="auto"/>
        <w:ind w:left="709"/>
        <w:jc w:val="both"/>
        <w:rPr>
          <w:rFonts w:ascii="Arial" w:eastAsia="Times New Roman" w:hAnsi="Arial" w:cs="Arial"/>
          <w:iCs/>
          <w:color w:val="000000" w:themeColor="text1"/>
          <w:lang w:val="en-US" w:eastAsia="tr-TR"/>
        </w:rPr>
      </w:pPr>
      <w:r w:rsidRPr="00004507">
        <w:rPr>
          <w:rFonts w:ascii="Arial" w:hAnsi="Arial" w:cs="Arial"/>
          <w:color w:val="000000" w:themeColor="text1"/>
          <w:shd w:val="clear" w:color="auto" w:fill="FFFFFF"/>
          <w:lang w:val="en-US"/>
        </w:rPr>
        <w:t>https://doi.org/10.4297/najms.2010.2487</w:t>
      </w:r>
    </w:p>
    <w:p w14:paraId="1D33E13B" w14:textId="77777777" w:rsidR="00DB7DF3" w:rsidRPr="00FE6287" w:rsidRDefault="00DB7DF3" w:rsidP="00DB7DF3">
      <w:pPr>
        <w:pStyle w:val="ListeParagraf"/>
        <w:contextualSpacing w:val="0"/>
        <w:rPr>
          <w:rFonts w:ascii="Arial" w:hAnsi="Arial" w:cs="Arial"/>
          <w:color w:val="000000" w:themeColor="text1"/>
        </w:rPr>
      </w:pPr>
    </w:p>
    <w:p w14:paraId="03395A2F" w14:textId="5A98A2A1" w:rsidR="00DB7DF3" w:rsidRDefault="00DB7DF3" w:rsidP="00C15EA2">
      <w:pPr>
        <w:shd w:val="clear" w:color="auto" w:fill="FFFFFF"/>
        <w:spacing w:line="276" w:lineRule="auto"/>
        <w:rPr>
          <w:rFonts w:ascii="Arial" w:hAnsi="Arial" w:cs="Arial"/>
          <w:b/>
          <w:color w:val="000000" w:themeColor="text1"/>
          <w:lang w:val="en-US"/>
        </w:rPr>
      </w:pPr>
    </w:p>
    <w:p w14:paraId="622AF591" w14:textId="77777777" w:rsidR="008B5297" w:rsidRDefault="008B5297">
      <w:pPr>
        <w:rPr>
          <w:rFonts w:ascii="Arial" w:hAnsi="Arial" w:cs="Arial"/>
          <w:b/>
          <w:color w:val="000000" w:themeColor="text1"/>
          <w:lang w:val="en-US"/>
        </w:rPr>
        <w:sectPr w:rsidR="008B5297" w:rsidSect="003378E7">
          <w:pgSz w:w="11906" w:h="16838"/>
          <w:pgMar w:top="1417" w:right="1417" w:bottom="1417" w:left="1417" w:header="708" w:footer="708" w:gutter="0"/>
          <w:cols w:space="708"/>
          <w:docGrid w:linePitch="360"/>
        </w:sectPr>
      </w:pPr>
      <w:r>
        <w:rPr>
          <w:rFonts w:ascii="Arial" w:hAnsi="Arial" w:cs="Arial"/>
          <w:b/>
          <w:color w:val="000000" w:themeColor="text1"/>
          <w:lang w:val="en-US"/>
        </w:rPr>
        <w:br w:type="page"/>
      </w:r>
    </w:p>
    <w:p w14:paraId="52C6ECD3" w14:textId="77777777" w:rsidR="008B5297" w:rsidRPr="00C116D5" w:rsidRDefault="008B5297" w:rsidP="001F4084">
      <w:pPr>
        <w:autoSpaceDE w:val="0"/>
        <w:autoSpaceDN w:val="0"/>
        <w:adjustRightInd w:val="0"/>
        <w:spacing w:line="240" w:lineRule="auto"/>
        <w:rPr>
          <w:rFonts w:ascii="Arial" w:hAnsi="Arial" w:cs="Arial"/>
          <w:lang w:val="en-US"/>
        </w:rPr>
      </w:pPr>
      <w:proofErr w:type="gramStart"/>
      <w:r w:rsidRPr="00774B17">
        <w:rPr>
          <w:rFonts w:ascii="Arial" w:hAnsi="Arial" w:cs="Arial"/>
          <w:b/>
          <w:lang w:val="en-US"/>
        </w:rPr>
        <w:lastRenderedPageBreak/>
        <w:t>Table 1.</w:t>
      </w:r>
      <w:proofErr w:type="gramEnd"/>
      <w:r w:rsidRPr="00C116D5">
        <w:rPr>
          <w:rFonts w:ascii="Arial" w:hAnsi="Arial" w:cs="Arial"/>
          <w:lang w:val="en-US"/>
        </w:rPr>
        <w:t xml:space="preserve"> </w:t>
      </w:r>
      <w:proofErr w:type="gramStart"/>
      <w:r w:rsidRPr="00C116D5">
        <w:rPr>
          <w:rFonts w:ascii="Arial" w:hAnsi="Arial" w:cs="Arial"/>
          <w:lang w:val="en-US"/>
        </w:rPr>
        <w:t>Demographic and visual clinical characteristics of PEG and PEX patients and control subjects.</w:t>
      </w:r>
      <w:proofErr w:type="gramEnd"/>
      <w:r w:rsidRPr="00C116D5">
        <w:rPr>
          <w:rFonts w:ascii="Arial" w:hAnsi="Arial" w:cs="Arial"/>
          <w:lang w:val="en-US"/>
        </w:rPr>
        <w:t xml:space="preserve"> </w:t>
      </w:r>
    </w:p>
    <w:tbl>
      <w:tblPr>
        <w:tblStyle w:val="TabloKlavuzu"/>
        <w:tblW w:w="11844" w:type="dxa"/>
        <w:tblLook w:val="04A0" w:firstRow="1" w:lastRow="0" w:firstColumn="1" w:lastColumn="0" w:noHBand="0" w:noVBand="1"/>
      </w:tblPr>
      <w:tblGrid>
        <w:gridCol w:w="2253"/>
        <w:gridCol w:w="2704"/>
        <w:gridCol w:w="2693"/>
        <w:gridCol w:w="2693"/>
        <w:gridCol w:w="1501"/>
      </w:tblGrid>
      <w:tr w:rsidR="008B5297" w:rsidRPr="00C116D5" w14:paraId="4C87BF89" w14:textId="77777777" w:rsidTr="00023145">
        <w:tc>
          <w:tcPr>
            <w:tcW w:w="2253" w:type="dxa"/>
          </w:tcPr>
          <w:p w14:paraId="0681E969" w14:textId="77777777" w:rsidR="008B5297" w:rsidRPr="00C116D5" w:rsidRDefault="008B5297" w:rsidP="00023145">
            <w:pPr>
              <w:spacing w:line="360" w:lineRule="auto"/>
              <w:rPr>
                <w:rFonts w:ascii="Arial" w:hAnsi="Arial" w:cs="Arial"/>
                <w:b/>
                <w:sz w:val="20"/>
                <w:szCs w:val="20"/>
                <w:lang w:val="en-US"/>
              </w:rPr>
            </w:pPr>
            <w:r w:rsidRPr="00C116D5">
              <w:rPr>
                <w:rFonts w:ascii="Arial" w:hAnsi="Arial" w:cs="Arial"/>
                <w:b/>
                <w:sz w:val="20"/>
                <w:szCs w:val="20"/>
                <w:lang w:val="en-US"/>
              </w:rPr>
              <w:t xml:space="preserve">Characteristic </w:t>
            </w:r>
          </w:p>
        </w:tc>
        <w:tc>
          <w:tcPr>
            <w:tcW w:w="2704" w:type="dxa"/>
            <w:vAlign w:val="center"/>
          </w:tcPr>
          <w:p w14:paraId="40E40AE1" w14:textId="77777777" w:rsidR="008B5297" w:rsidRPr="00C116D5" w:rsidRDefault="008B5297" w:rsidP="00023145">
            <w:pPr>
              <w:spacing w:line="360" w:lineRule="auto"/>
              <w:jc w:val="center"/>
              <w:rPr>
                <w:rFonts w:ascii="Arial" w:hAnsi="Arial" w:cs="Arial"/>
                <w:b/>
                <w:sz w:val="20"/>
                <w:szCs w:val="20"/>
                <w:lang w:val="en-US"/>
              </w:rPr>
            </w:pPr>
            <w:r w:rsidRPr="00C116D5">
              <w:rPr>
                <w:rFonts w:ascii="Arial" w:hAnsi="Arial" w:cs="Arial"/>
                <w:b/>
                <w:sz w:val="20"/>
                <w:szCs w:val="20"/>
                <w:lang w:val="en-US"/>
              </w:rPr>
              <w:t>PEG (n=150)</w:t>
            </w:r>
          </w:p>
        </w:tc>
        <w:tc>
          <w:tcPr>
            <w:tcW w:w="2693" w:type="dxa"/>
            <w:vAlign w:val="center"/>
          </w:tcPr>
          <w:p w14:paraId="07823A40" w14:textId="77777777" w:rsidR="008B5297" w:rsidRPr="00C116D5" w:rsidRDefault="008B5297" w:rsidP="00023145">
            <w:pPr>
              <w:spacing w:line="360" w:lineRule="auto"/>
              <w:jc w:val="center"/>
              <w:rPr>
                <w:rFonts w:ascii="Arial" w:hAnsi="Arial" w:cs="Arial"/>
                <w:b/>
                <w:sz w:val="20"/>
                <w:szCs w:val="20"/>
                <w:lang w:val="en-US"/>
              </w:rPr>
            </w:pPr>
            <w:r w:rsidRPr="00C116D5">
              <w:rPr>
                <w:rFonts w:ascii="Arial" w:hAnsi="Arial" w:cs="Arial"/>
                <w:b/>
                <w:sz w:val="20"/>
                <w:szCs w:val="20"/>
                <w:lang w:val="en-US"/>
              </w:rPr>
              <w:t>PEX (n=150)</w:t>
            </w:r>
          </w:p>
        </w:tc>
        <w:tc>
          <w:tcPr>
            <w:tcW w:w="2693" w:type="dxa"/>
            <w:vAlign w:val="center"/>
          </w:tcPr>
          <w:p w14:paraId="2A015AEE" w14:textId="77777777" w:rsidR="008B5297" w:rsidRPr="00C116D5" w:rsidRDefault="008B5297" w:rsidP="00023145">
            <w:pPr>
              <w:spacing w:line="360" w:lineRule="auto"/>
              <w:jc w:val="center"/>
              <w:rPr>
                <w:rFonts w:ascii="Arial" w:hAnsi="Arial" w:cs="Arial"/>
                <w:b/>
                <w:sz w:val="20"/>
                <w:szCs w:val="20"/>
                <w:lang w:val="en-US"/>
              </w:rPr>
            </w:pPr>
            <w:r w:rsidRPr="00C116D5">
              <w:rPr>
                <w:rFonts w:ascii="Arial" w:hAnsi="Arial" w:cs="Arial"/>
                <w:b/>
                <w:sz w:val="20"/>
                <w:szCs w:val="20"/>
                <w:lang w:val="en-US"/>
              </w:rPr>
              <w:t>Control (n=150)</w:t>
            </w:r>
          </w:p>
        </w:tc>
        <w:tc>
          <w:tcPr>
            <w:tcW w:w="1501" w:type="dxa"/>
          </w:tcPr>
          <w:p w14:paraId="110A2059" w14:textId="77777777" w:rsidR="008B5297" w:rsidRPr="00C116D5" w:rsidRDefault="008B5297" w:rsidP="00023145">
            <w:pPr>
              <w:spacing w:line="360" w:lineRule="auto"/>
              <w:jc w:val="center"/>
              <w:rPr>
                <w:rFonts w:ascii="Arial" w:hAnsi="Arial" w:cs="Arial"/>
                <w:b/>
                <w:sz w:val="20"/>
                <w:szCs w:val="20"/>
                <w:lang w:val="en-US"/>
              </w:rPr>
            </w:pPr>
            <w:r w:rsidRPr="00C116D5">
              <w:rPr>
                <w:rFonts w:ascii="Arial" w:hAnsi="Arial" w:cs="Arial"/>
                <w:b/>
                <w:sz w:val="20"/>
                <w:szCs w:val="20"/>
                <w:lang w:val="en-US"/>
              </w:rPr>
              <w:t>P</w:t>
            </w:r>
          </w:p>
        </w:tc>
      </w:tr>
      <w:tr w:rsidR="008B5297" w:rsidRPr="00C116D5" w14:paraId="7657885B" w14:textId="77777777" w:rsidTr="00023145">
        <w:tc>
          <w:tcPr>
            <w:tcW w:w="2253" w:type="dxa"/>
            <w:vAlign w:val="center"/>
          </w:tcPr>
          <w:p w14:paraId="0ECBD65F"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 xml:space="preserve">Age </w:t>
            </w:r>
          </w:p>
        </w:tc>
        <w:tc>
          <w:tcPr>
            <w:tcW w:w="2704" w:type="dxa"/>
            <w:vAlign w:val="center"/>
          </w:tcPr>
          <w:p w14:paraId="3CEBA7B2"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color w:val="000000"/>
                <w:sz w:val="20"/>
                <w:szCs w:val="20"/>
                <w:lang w:val="en-US"/>
              </w:rPr>
              <w:t>73.7 ± 8.3</w:t>
            </w:r>
          </w:p>
          <w:p w14:paraId="378D1F72"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 xml:space="preserve">74 (67.8 </w:t>
            </w:r>
            <w:r w:rsidRPr="00C116D5">
              <w:rPr>
                <w:rFonts w:ascii="Arial" w:hAnsi="Arial" w:cs="Arial"/>
                <w:color w:val="000000"/>
                <w:sz w:val="20"/>
                <w:szCs w:val="20"/>
                <w:lang w:val="en-US"/>
              </w:rPr>
              <w:t xml:space="preserve">– </w:t>
            </w:r>
            <w:r w:rsidRPr="00C116D5">
              <w:rPr>
                <w:rFonts w:ascii="Arial" w:hAnsi="Arial" w:cs="Arial"/>
                <w:sz w:val="20"/>
                <w:szCs w:val="20"/>
                <w:lang w:val="en-US"/>
              </w:rPr>
              <w:t>80.0)</w:t>
            </w:r>
          </w:p>
        </w:tc>
        <w:tc>
          <w:tcPr>
            <w:tcW w:w="2693" w:type="dxa"/>
            <w:vAlign w:val="center"/>
          </w:tcPr>
          <w:p w14:paraId="3BFC32B4"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color w:val="000000"/>
                <w:sz w:val="20"/>
                <w:szCs w:val="20"/>
                <w:lang w:val="en-US"/>
              </w:rPr>
              <w:t>70.4 ± 7.1</w:t>
            </w:r>
          </w:p>
          <w:p w14:paraId="5531F882"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69.0 (66.0 – 75.3)</w:t>
            </w:r>
          </w:p>
        </w:tc>
        <w:tc>
          <w:tcPr>
            <w:tcW w:w="2693" w:type="dxa"/>
            <w:vAlign w:val="center"/>
          </w:tcPr>
          <w:p w14:paraId="79177A40"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color w:val="000000"/>
                <w:sz w:val="20"/>
                <w:szCs w:val="20"/>
                <w:lang w:val="en-US"/>
              </w:rPr>
              <w:t>68.9 ± 9.8</w:t>
            </w:r>
          </w:p>
          <w:p w14:paraId="14B9E017"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69.0 (62.0 – 76.3)</w:t>
            </w:r>
          </w:p>
        </w:tc>
        <w:tc>
          <w:tcPr>
            <w:tcW w:w="1501" w:type="dxa"/>
            <w:vAlign w:val="center"/>
          </w:tcPr>
          <w:p w14:paraId="39D68921"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tc>
      </w:tr>
      <w:tr w:rsidR="008B5297" w:rsidRPr="00C116D5" w14:paraId="1506DBC8" w14:textId="77777777" w:rsidTr="00023145">
        <w:trPr>
          <w:trHeight w:val="1148"/>
        </w:trPr>
        <w:tc>
          <w:tcPr>
            <w:tcW w:w="2253" w:type="dxa"/>
            <w:vAlign w:val="center"/>
          </w:tcPr>
          <w:p w14:paraId="1717154E"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Sex</w:t>
            </w:r>
          </w:p>
          <w:p w14:paraId="6B9909C1" w14:textId="77777777" w:rsidR="008B5297" w:rsidRPr="00C116D5" w:rsidRDefault="008B5297" w:rsidP="00023145">
            <w:pPr>
              <w:spacing w:line="360" w:lineRule="auto"/>
              <w:ind w:left="596" w:hanging="596"/>
              <w:rPr>
                <w:rFonts w:ascii="Arial" w:hAnsi="Arial" w:cs="Arial"/>
                <w:sz w:val="20"/>
                <w:szCs w:val="20"/>
                <w:lang w:val="en-US"/>
              </w:rPr>
            </w:pPr>
            <w:r w:rsidRPr="00C116D5">
              <w:rPr>
                <w:rFonts w:ascii="Arial" w:hAnsi="Arial" w:cs="Arial"/>
                <w:sz w:val="20"/>
                <w:szCs w:val="20"/>
                <w:lang w:val="en-US"/>
              </w:rPr>
              <w:t xml:space="preserve">       Male/female</w:t>
            </w:r>
          </w:p>
          <w:p w14:paraId="691828B2"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 xml:space="preserve">       Male/female  %</w:t>
            </w:r>
          </w:p>
        </w:tc>
        <w:tc>
          <w:tcPr>
            <w:tcW w:w="2704" w:type="dxa"/>
            <w:vAlign w:val="center"/>
          </w:tcPr>
          <w:p w14:paraId="5EDE30F8" w14:textId="77777777" w:rsidR="008B5297" w:rsidRPr="00C116D5" w:rsidRDefault="008B5297" w:rsidP="00023145">
            <w:pPr>
              <w:spacing w:line="360" w:lineRule="auto"/>
              <w:jc w:val="center"/>
              <w:rPr>
                <w:rFonts w:ascii="Arial" w:hAnsi="Arial" w:cs="Arial"/>
                <w:sz w:val="20"/>
                <w:szCs w:val="20"/>
                <w:lang w:val="en-US"/>
              </w:rPr>
            </w:pPr>
          </w:p>
          <w:p w14:paraId="0D09810C"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86/64</w:t>
            </w:r>
          </w:p>
          <w:p w14:paraId="40A872DD"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57.3/42.7</w:t>
            </w:r>
          </w:p>
        </w:tc>
        <w:tc>
          <w:tcPr>
            <w:tcW w:w="2693" w:type="dxa"/>
            <w:vAlign w:val="center"/>
          </w:tcPr>
          <w:p w14:paraId="194B6965" w14:textId="77777777" w:rsidR="008B5297" w:rsidRPr="00C116D5" w:rsidRDefault="008B5297" w:rsidP="00023145">
            <w:pPr>
              <w:spacing w:line="360" w:lineRule="auto"/>
              <w:jc w:val="center"/>
              <w:rPr>
                <w:rFonts w:ascii="Arial" w:hAnsi="Arial" w:cs="Arial"/>
                <w:sz w:val="20"/>
                <w:szCs w:val="20"/>
                <w:lang w:val="en-US"/>
              </w:rPr>
            </w:pPr>
          </w:p>
          <w:p w14:paraId="7D170AC0"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76/74</w:t>
            </w:r>
          </w:p>
          <w:p w14:paraId="78045764"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50.7/49.3</w:t>
            </w:r>
          </w:p>
        </w:tc>
        <w:tc>
          <w:tcPr>
            <w:tcW w:w="2693" w:type="dxa"/>
            <w:vAlign w:val="center"/>
          </w:tcPr>
          <w:p w14:paraId="59998A0B" w14:textId="77777777" w:rsidR="008B5297" w:rsidRPr="00C116D5" w:rsidRDefault="008B5297" w:rsidP="00023145">
            <w:pPr>
              <w:spacing w:line="360" w:lineRule="auto"/>
              <w:jc w:val="center"/>
              <w:rPr>
                <w:rFonts w:ascii="Arial" w:hAnsi="Arial" w:cs="Arial"/>
                <w:sz w:val="20"/>
                <w:szCs w:val="20"/>
                <w:lang w:val="en-US"/>
              </w:rPr>
            </w:pPr>
          </w:p>
          <w:p w14:paraId="7251A56E"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78/72</w:t>
            </w:r>
          </w:p>
          <w:p w14:paraId="41445A35"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52/48</w:t>
            </w:r>
          </w:p>
        </w:tc>
        <w:tc>
          <w:tcPr>
            <w:tcW w:w="1501" w:type="dxa"/>
            <w:vAlign w:val="center"/>
          </w:tcPr>
          <w:p w14:paraId="764576CC"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0.353</w:t>
            </w:r>
            <w:r w:rsidRPr="00C116D5">
              <w:rPr>
                <w:rFonts w:ascii="Arial" w:hAnsi="Arial" w:cs="Arial"/>
                <w:sz w:val="20"/>
                <w:szCs w:val="20"/>
                <w:vertAlign w:val="superscript"/>
                <w:lang w:val="en-US"/>
              </w:rPr>
              <w:t>b</w:t>
            </w:r>
          </w:p>
          <w:p w14:paraId="61EB5E4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0.817</w:t>
            </w:r>
            <w:r w:rsidRPr="00C116D5">
              <w:rPr>
                <w:rFonts w:ascii="Arial" w:hAnsi="Arial" w:cs="Arial"/>
                <w:sz w:val="20"/>
                <w:szCs w:val="20"/>
                <w:vertAlign w:val="superscript"/>
                <w:lang w:val="en-US"/>
              </w:rPr>
              <w:t>c</w:t>
            </w:r>
          </w:p>
          <w:p w14:paraId="1D8BBE0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0.247</w:t>
            </w:r>
            <w:r w:rsidRPr="00C116D5">
              <w:rPr>
                <w:rFonts w:ascii="Arial" w:hAnsi="Arial" w:cs="Arial"/>
                <w:sz w:val="20"/>
                <w:szCs w:val="20"/>
                <w:vertAlign w:val="superscript"/>
                <w:lang w:val="en-US"/>
              </w:rPr>
              <w:t>d</w:t>
            </w:r>
          </w:p>
        </w:tc>
      </w:tr>
      <w:tr w:rsidR="008B5297" w:rsidRPr="00C116D5" w14:paraId="0C60AB0D" w14:textId="77777777" w:rsidTr="00023145">
        <w:tc>
          <w:tcPr>
            <w:tcW w:w="2253" w:type="dxa"/>
            <w:vAlign w:val="center"/>
          </w:tcPr>
          <w:p w14:paraId="432A4014"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 xml:space="preserve">Systemic hypertension, </w:t>
            </w:r>
            <w:r w:rsidRPr="00C116D5">
              <w:rPr>
                <w:rFonts w:ascii="Arial" w:hAnsi="Arial" w:cs="Arial"/>
                <w:i/>
                <w:sz w:val="20"/>
                <w:szCs w:val="20"/>
                <w:lang w:val="en-US"/>
              </w:rPr>
              <w:t>n</w:t>
            </w:r>
            <w:r w:rsidRPr="00C116D5">
              <w:rPr>
                <w:rFonts w:ascii="Arial" w:hAnsi="Arial" w:cs="Arial"/>
                <w:sz w:val="20"/>
                <w:szCs w:val="20"/>
                <w:lang w:val="en-US"/>
              </w:rPr>
              <w:t xml:space="preserve"> (%) </w:t>
            </w:r>
          </w:p>
        </w:tc>
        <w:tc>
          <w:tcPr>
            <w:tcW w:w="2704" w:type="dxa"/>
            <w:vAlign w:val="center"/>
          </w:tcPr>
          <w:p w14:paraId="46E9107D"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76 (50.7)</w:t>
            </w:r>
          </w:p>
        </w:tc>
        <w:tc>
          <w:tcPr>
            <w:tcW w:w="2693" w:type="dxa"/>
            <w:vAlign w:val="center"/>
          </w:tcPr>
          <w:p w14:paraId="762A615A"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77 (51.3)</w:t>
            </w:r>
          </w:p>
        </w:tc>
        <w:tc>
          <w:tcPr>
            <w:tcW w:w="2693" w:type="dxa"/>
            <w:vAlign w:val="center"/>
          </w:tcPr>
          <w:p w14:paraId="52E5A0A5"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77 (51.3)</w:t>
            </w:r>
          </w:p>
        </w:tc>
        <w:tc>
          <w:tcPr>
            <w:tcW w:w="1501" w:type="dxa"/>
            <w:vAlign w:val="center"/>
          </w:tcPr>
          <w:p w14:paraId="4E50C9F5"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b,c,d</w:t>
            </w:r>
          </w:p>
        </w:tc>
      </w:tr>
      <w:tr w:rsidR="008B5297" w:rsidRPr="00C116D5" w14:paraId="64014A0D" w14:textId="77777777" w:rsidTr="00023145">
        <w:tc>
          <w:tcPr>
            <w:tcW w:w="2253" w:type="dxa"/>
            <w:vAlign w:val="center"/>
          </w:tcPr>
          <w:p w14:paraId="738ECC8A"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 xml:space="preserve">Diabetes, </w:t>
            </w:r>
            <w:r w:rsidRPr="00C116D5">
              <w:rPr>
                <w:rFonts w:ascii="Arial" w:hAnsi="Arial" w:cs="Arial"/>
                <w:i/>
                <w:sz w:val="20"/>
                <w:szCs w:val="20"/>
                <w:lang w:val="en-US"/>
              </w:rPr>
              <w:t>n</w:t>
            </w:r>
            <w:r w:rsidRPr="00C116D5">
              <w:rPr>
                <w:rFonts w:ascii="Arial" w:hAnsi="Arial" w:cs="Arial"/>
                <w:sz w:val="20"/>
                <w:szCs w:val="20"/>
                <w:lang w:val="en-US"/>
              </w:rPr>
              <w:t xml:space="preserve"> (%)</w:t>
            </w:r>
          </w:p>
        </w:tc>
        <w:tc>
          <w:tcPr>
            <w:tcW w:w="2704" w:type="dxa"/>
            <w:vAlign w:val="center"/>
          </w:tcPr>
          <w:p w14:paraId="4849BA86"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32 (21.3)</w:t>
            </w:r>
          </w:p>
        </w:tc>
        <w:tc>
          <w:tcPr>
            <w:tcW w:w="2693" w:type="dxa"/>
            <w:vAlign w:val="center"/>
          </w:tcPr>
          <w:p w14:paraId="4F859233"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31 (20.7)</w:t>
            </w:r>
          </w:p>
        </w:tc>
        <w:tc>
          <w:tcPr>
            <w:tcW w:w="2693" w:type="dxa"/>
            <w:vAlign w:val="center"/>
          </w:tcPr>
          <w:p w14:paraId="5246A177"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32 (21.3)</w:t>
            </w:r>
          </w:p>
        </w:tc>
        <w:tc>
          <w:tcPr>
            <w:tcW w:w="1501" w:type="dxa"/>
            <w:vAlign w:val="center"/>
          </w:tcPr>
          <w:p w14:paraId="7AAD447E"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b</w:t>
            </w:r>
          </w:p>
          <w:p w14:paraId="6429960C"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0.887</w:t>
            </w:r>
            <w:r w:rsidRPr="00C116D5">
              <w:rPr>
                <w:rFonts w:ascii="Arial" w:hAnsi="Arial" w:cs="Arial"/>
                <w:sz w:val="20"/>
                <w:szCs w:val="20"/>
                <w:vertAlign w:val="superscript"/>
                <w:lang w:val="en-US"/>
              </w:rPr>
              <w:t>c</w:t>
            </w:r>
          </w:p>
          <w:p w14:paraId="2A6E495D"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0.887</w:t>
            </w:r>
            <w:r w:rsidRPr="00C116D5">
              <w:rPr>
                <w:rFonts w:ascii="Arial" w:hAnsi="Arial" w:cs="Arial"/>
                <w:sz w:val="20"/>
                <w:szCs w:val="20"/>
                <w:vertAlign w:val="superscript"/>
                <w:lang w:val="en-US"/>
              </w:rPr>
              <w:t>d</w:t>
            </w:r>
          </w:p>
        </w:tc>
      </w:tr>
      <w:tr w:rsidR="008B5297" w:rsidRPr="00C116D5" w14:paraId="54B17561" w14:textId="77777777" w:rsidTr="00023145">
        <w:tc>
          <w:tcPr>
            <w:tcW w:w="2253" w:type="dxa"/>
            <w:vAlign w:val="center"/>
          </w:tcPr>
          <w:p w14:paraId="2082C9B0"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 xml:space="preserve">Cardiovascular disease, </w:t>
            </w:r>
            <w:r w:rsidRPr="00C116D5">
              <w:rPr>
                <w:rFonts w:ascii="Arial" w:hAnsi="Arial" w:cs="Arial"/>
                <w:i/>
                <w:sz w:val="20"/>
                <w:szCs w:val="20"/>
                <w:lang w:val="en-US"/>
              </w:rPr>
              <w:t>n</w:t>
            </w:r>
            <w:r w:rsidRPr="00C116D5">
              <w:rPr>
                <w:rFonts w:ascii="Arial" w:hAnsi="Arial" w:cs="Arial"/>
                <w:sz w:val="20"/>
                <w:szCs w:val="20"/>
                <w:lang w:val="en-US"/>
              </w:rPr>
              <w:t xml:space="preserve"> (%)</w:t>
            </w:r>
          </w:p>
        </w:tc>
        <w:tc>
          <w:tcPr>
            <w:tcW w:w="2704" w:type="dxa"/>
            <w:vAlign w:val="center"/>
          </w:tcPr>
          <w:p w14:paraId="54802D2B"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40 (26.7)</w:t>
            </w:r>
          </w:p>
        </w:tc>
        <w:tc>
          <w:tcPr>
            <w:tcW w:w="2693" w:type="dxa"/>
            <w:vAlign w:val="center"/>
          </w:tcPr>
          <w:p w14:paraId="5451A85B"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41 (27.3)</w:t>
            </w:r>
          </w:p>
        </w:tc>
        <w:tc>
          <w:tcPr>
            <w:tcW w:w="2693" w:type="dxa"/>
            <w:vAlign w:val="center"/>
          </w:tcPr>
          <w:p w14:paraId="5BB48DD0"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47 (31.3)</w:t>
            </w:r>
          </w:p>
        </w:tc>
        <w:tc>
          <w:tcPr>
            <w:tcW w:w="1501" w:type="dxa"/>
            <w:vAlign w:val="center"/>
          </w:tcPr>
          <w:p w14:paraId="38B14DD6"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0.373</w:t>
            </w:r>
            <w:r w:rsidRPr="00C116D5">
              <w:rPr>
                <w:rFonts w:ascii="Arial" w:hAnsi="Arial" w:cs="Arial"/>
                <w:sz w:val="20"/>
                <w:szCs w:val="20"/>
                <w:vertAlign w:val="superscript"/>
                <w:lang w:val="en-US"/>
              </w:rPr>
              <w:t>b</w:t>
            </w:r>
          </w:p>
          <w:p w14:paraId="0503EC74"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0.447</w:t>
            </w:r>
            <w:r w:rsidRPr="00C116D5">
              <w:rPr>
                <w:rFonts w:ascii="Arial" w:hAnsi="Arial" w:cs="Arial"/>
                <w:sz w:val="20"/>
                <w:szCs w:val="20"/>
                <w:vertAlign w:val="superscript"/>
                <w:lang w:val="en-US"/>
              </w:rPr>
              <w:t>c</w:t>
            </w:r>
          </w:p>
          <w:p w14:paraId="0292CC3A"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d</w:t>
            </w:r>
          </w:p>
        </w:tc>
      </w:tr>
      <w:tr w:rsidR="008B5297" w:rsidRPr="00C116D5" w14:paraId="069F6C04" w14:textId="77777777" w:rsidTr="00023145">
        <w:tc>
          <w:tcPr>
            <w:tcW w:w="2253" w:type="dxa"/>
            <w:vAlign w:val="center"/>
          </w:tcPr>
          <w:p w14:paraId="36F0FFCE"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 xml:space="preserve">Smokers, </w:t>
            </w:r>
            <w:r w:rsidRPr="00C116D5">
              <w:rPr>
                <w:rFonts w:ascii="Arial" w:hAnsi="Arial" w:cs="Arial"/>
                <w:i/>
                <w:sz w:val="20"/>
                <w:szCs w:val="20"/>
                <w:lang w:val="en-US"/>
              </w:rPr>
              <w:t>n</w:t>
            </w:r>
            <w:r w:rsidRPr="00C116D5">
              <w:rPr>
                <w:rFonts w:ascii="Arial" w:hAnsi="Arial" w:cs="Arial"/>
                <w:sz w:val="20"/>
                <w:szCs w:val="20"/>
                <w:lang w:val="en-US"/>
              </w:rPr>
              <w:t xml:space="preserve"> (%)  </w:t>
            </w:r>
          </w:p>
        </w:tc>
        <w:tc>
          <w:tcPr>
            <w:tcW w:w="2704" w:type="dxa"/>
            <w:vAlign w:val="center"/>
          </w:tcPr>
          <w:p w14:paraId="56924C17"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22 (14.7)</w:t>
            </w:r>
          </w:p>
        </w:tc>
        <w:tc>
          <w:tcPr>
            <w:tcW w:w="2693" w:type="dxa"/>
            <w:vAlign w:val="center"/>
          </w:tcPr>
          <w:p w14:paraId="457DE86B"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19 (12.7)</w:t>
            </w:r>
          </w:p>
        </w:tc>
        <w:tc>
          <w:tcPr>
            <w:tcW w:w="2693" w:type="dxa"/>
            <w:vAlign w:val="center"/>
          </w:tcPr>
          <w:p w14:paraId="0A4A3774"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18 (12.0)</w:t>
            </w:r>
          </w:p>
        </w:tc>
        <w:tc>
          <w:tcPr>
            <w:tcW w:w="1501" w:type="dxa"/>
            <w:vAlign w:val="center"/>
          </w:tcPr>
          <w:p w14:paraId="5C3E03CD"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0.497</w:t>
            </w:r>
            <w:r w:rsidRPr="00C116D5">
              <w:rPr>
                <w:rFonts w:ascii="Arial" w:hAnsi="Arial" w:cs="Arial"/>
                <w:sz w:val="20"/>
                <w:szCs w:val="20"/>
                <w:vertAlign w:val="superscript"/>
                <w:lang w:val="en-US"/>
              </w:rPr>
              <w:t>b</w:t>
            </w:r>
          </w:p>
          <w:p w14:paraId="5224C52F"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0.861</w:t>
            </w:r>
            <w:r w:rsidRPr="00C116D5">
              <w:rPr>
                <w:rFonts w:ascii="Arial" w:hAnsi="Arial" w:cs="Arial"/>
                <w:sz w:val="20"/>
                <w:szCs w:val="20"/>
                <w:vertAlign w:val="superscript"/>
                <w:lang w:val="en-US"/>
              </w:rPr>
              <w:t>c</w:t>
            </w:r>
          </w:p>
          <w:p w14:paraId="67AD839F"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0.614</w:t>
            </w:r>
            <w:r w:rsidRPr="00C116D5">
              <w:rPr>
                <w:rFonts w:ascii="Arial" w:hAnsi="Arial" w:cs="Arial"/>
                <w:sz w:val="20"/>
                <w:szCs w:val="20"/>
                <w:vertAlign w:val="superscript"/>
                <w:lang w:val="en-US"/>
              </w:rPr>
              <w:t>d</w:t>
            </w:r>
          </w:p>
        </w:tc>
      </w:tr>
      <w:tr w:rsidR="008B5297" w:rsidRPr="00C116D5" w14:paraId="5EFE1D2D" w14:textId="77777777" w:rsidTr="00023145">
        <w:tc>
          <w:tcPr>
            <w:tcW w:w="2253" w:type="dxa"/>
            <w:vAlign w:val="center"/>
          </w:tcPr>
          <w:p w14:paraId="2CFF9598"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IOP (</w:t>
            </w:r>
            <w:r>
              <w:rPr>
                <w:rFonts w:ascii="Arial" w:hAnsi="Arial" w:cs="Arial"/>
                <w:sz w:val="20"/>
                <w:szCs w:val="20"/>
                <w:lang w:val="en-US"/>
              </w:rPr>
              <w:t>mm</w:t>
            </w:r>
            <w:r w:rsidRPr="00C116D5">
              <w:rPr>
                <w:rFonts w:ascii="Arial" w:hAnsi="Arial" w:cs="Arial"/>
                <w:sz w:val="20"/>
                <w:szCs w:val="20"/>
                <w:lang w:val="en-US"/>
              </w:rPr>
              <w:t>Hg)</w:t>
            </w:r>
          </w:p>
        </w:tc>
        <w:tc>
          <w:tcPr>
            <w:tcW w:w="2704" w:type="dxa"/>
            <w:vAlign w:val="center"/>
          </w:tcPr>
          <w:p w14:paraId="641AAE46"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21.6 </w:t>
            </w:r>
            <w:r w:rsidRPr="00C116D5">
              <w:rPr>
                <w:rFonts w:ascii="Arial" w:hAnsi="Arial" w:cs="Arial"/>
                <w:color w:val="000000"/>
                <w:sz w:val="20"/>
                <w:szCs w:val="20"/>
                <w:lang w:val="en-US"/>
              </w:rPr>
              <w:t>± 5.0</w:t>
            </w:r>
          </w:p>
          <w:p w14:paraId="6E9CAD43"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21.0 (18.0 – 24.0)</w:t>
            </w:r>
          </w:p>
        </w:tc>
        <w:tc>
          <w:tcPr>
            <w:tcW w:w="2693" w:type="dxa"/>
            <w:vAlign w:val="center"/>
          </w:tcPr>
          <w:p w14:paraId="0BAFCA85"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19.3 </w:t>
            </w:r>
            <w:r w:rsidRPr="00C116D5">
              <w:rPr>
                <w:rFonts w:ascii="Arial" w:hAnsi="Arial" w:cs="Arial"/>
                <w:color w:val="000000"/>
                <w:sz w:val="20"/>
                <w:szCs w:val="20"/>
                <w:lang w:val="en-US"/>
              </w:rPr>
              <w:t>± 5.3</w:t>
            </w:r>
          </w:p>
          <w:p w14:paraId="71F9086F"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18.0 (16.0 – 22.3)</w:t>
            </w:r>
          </w:p>
        </w:tc>
        <w:tc>
          <w:tcPr>
            <w:tcW w:w="2693" w:type="dxa"/>
            <w:vAlign w:val="center"/>
          </w:tcPr>
          <w:p w14:paraId="79C58C66"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19.8 </w:t>
            </w:r>
            <w:r w:rsidRPr="00C116D5">
              <w:rPr>
                <w:rFonts w:ascii="Arial" w:hAnsi="Arial" w:cs="Arial"/>
                <w:color w:val="000000"/>
                <w:sz w:val="20"/>
                <w:szCs w:val="20"/>
                <w:lang w:val="en-US"/>
              </w:rPr>
              <w:t>± 5.9</w:t>
            </w:r>
          </w:p>
          <w:p w14:paraId="2AA80B7C"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19.0 (16.0 – 24.0)</w:t>
            </w:r>
          </w:p>
        </w:tc>
        <w:tc>
          <w:tcPr>
            <w:tcW w:w="1501" w:type="dxa"/>
            <w:vAlign w:val="center"/>
          </w:tcPr>
          <w:p w14:paraId="0BCD533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tc>
      </w:tr>
      <w:tr w:rsidR="008B5297" w:rsidRPr="00C116D5" w14:paraId="33940FE8" w14:textId="77777777" w:rsidTr="00023145">
        <w:tc>
          <w:tcPr>
            <w:tcW w:w="2253" w:type="dxa"/>
            <w:vAlign w:val="center"/>
          </w:tcPr>
          <w:p w14:paraId="55B22A07"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Visual Field Score (VFS)</w:t>
            </w:r>
          </w:p>
        </w:tc>
        <w:tc>
          <w:tcPr>
            <w:tcW w:w="2704" w:type="dxa"/>
            <w:vAlign w:val="center"/>
          </w:tcPr>
          <w:p w14:paraId="2F0330DA"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2.6 </w:t>
            </w:r>
            <w:r w:rsidRPr="00C116D5">
              <w:rPr>
                <w:rFonts w:ascii="Arial" w:hAnsi="Arial" w:cs="Arial"/>
                <w:color w:val="000000"/>
                <w:sz w:val="20"/>
                <w:szCs w:val="20"/>
                <w:lang w:val="en-US"/>
              </w:rPr>
              <w:t>± 0.8</w:t>
            </w:r>
          </w:p>
          <w:p w14:paraId="2875DAA9"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2.0 (2.0 –  3.0)</w:t>
            </w:r>
          </w:p>
        </w:tc>
        <w:tc>
          <w:tcPr>
            <w:tcW w:w="2693" w:type="dxa"/>
            <w:vAlign w:val="center"/>
          </w:tcPr>
          <w:p w14:paraId="4C525977"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1.0 </w:t>
            </w:r>
            <w:r w:rsidRPr="00C116D5">
              <w:rPr>
                <w:rFonts w:ascii="Arial" w:hAnsi="Arial" w:cs="Arial"/>
                <w:color w:val="000000"/>
                <w:sz w:val="20"/>
                <w:szCs w:val="20"/>
                <w:lang w:val="en-US"/>
              </w:rPr>
              <w:t>± 0.0</w:t>
            </w:r>
          </w:p>
          <w:p w14:paraId="0E3EFC6E"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 xml:space="preserve">1.0 (1.0 </w:t>
            </w:r>
            <w:r w:rsidRPr="00C116D5">
              <w:rPr>
                <w:rFonts w:ascii="Arial" w:hAnsi="Arial" w:cs="Arial"/>
                <w:color w:val="000000"/>
                <w:sz w:val="20"/>
                <w:szCs w:val="20"/>
                <w:lang w:val="en-US"/>
              </w:rPr>
              <w:t xml:space="preserve">– </w:t>
            </w:r>
            <w:r w:rsidRPr="00C116D5">
              <w:rPr>
                <w:rFonts w:ascii="Arial" w:hAnsi="Arial" w:cs="Arial"/>
                <w:sz w:val="20"/>
                <w:szCs w:val="20"/>
                <w:lang w:val="en-US"/>
              </w:rPr>
              <w:t xml:space="preserve"> 1.0)</w:t>
            </w:r>
          </w:p>
        </w:tc>
        <w:tc>
          <w:tcPr>
            <w:tcW w:w="2693" w:type="dxa"/>
            <w:vAlign w:val="center"/>
          </w:tcPr>
          <w:p w14:paraId="2166C568"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1.0 </w:t>
            </w:r>
            <w:r w:rsidRPr="00C116D5">
              <w:rPr>
                <w:rFonts w:ascii="Arial" w:hAnsi="Arial" w:cs="Arial"/>
                <w:color w:val="000000"/>
                <w:sz w:val="20"/>
                <w:szCs w:val="20"/>
                <w:lang w:val="en-US"/>
              </w:rPr>
              <w:t>± 0.0</w:t>
            </w:r>
          </w:p>
          <w:p w14:paraId="7EAFD828"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 xml:space="preserve">1.0 (1.0 </w:t>
            </w:r>
            <w:r w:rsidRPr="00C116D5">
              <w:rPr>
                <w:rFonts w:ascii="Arial" w:hAnsi="Arial" w:cs="Arial"/>
                <w:color w:val="000000"/>
                <w:sz w:val="20"/>
                <w:szCs w:val="20"/>
                <w:lang w:val="en-US"/>
              </w:rPr>
              <w:t xml:space="preserve">– </w:t>
            </w:r>
            <w:r w:rsidRPr="00C116D5">
              <w:rPr>
                <w:rFonts w:ascii="Arial" w:hAnsi="Arial" w:cs="Arial"/>
                <w:sz w:val="20"/>
                <w:szCs w:val="20"/>
                <w:lang w:val="en-US"/>
              </w:rPr>
              <w:t xml:space="preserve"> 1.0)</w:t>
            </w:r>
          </w:p>
        </w:tc>
        <w:tc>
          <w:tcPr>
            <w:tcW w:w="1501" w:type="dxa"/>
            <w:vAlign w:val="center"/>
          </w:tcPr>
          <w:p w14:paraId="3B046B45"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tc>
      </w:tr>
      <w:tr w:rsidR="008B5297" w:rsidRPr="00C116D5" w14:paraId="07BC1830" w14:textId="77777777" w:rsidTr="00023145">
        <w:tc>
          <w:tcPr>
            <w:tcW w:w="2253" w:type="dxa"/>
            <w:vAlign w:val="center"/>
          </w:tcPr>
          <w:p w14:paraId="523308F4"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Mean deviation (MD)</w:t>
            </w:r>
          </w:p>
        </w:tc>
        <w:tc>
          <w:tcPr>
            <w:tcW w:w="2704" w:type="dxa"/>
            <w:vAlign w:val="center"/>
          </w:tcPr>
          <w:p w14:paraId="0AEB5209"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-6.7 </w:t>
            </w:r>
            <w:r w:rsidRPr="00C116D5">
              <w:rPr>
                <w:rFonts w:ascii="Arial" w:hAnsi="Arial" w:cs="Arial"/>
                <w:color w:val="000000"/>
                <w:sz w:val="20"/>
                <w:szCs w:val="20"/>
                <w:lang w:val="en-US"/>
              </w:rPr>
              <w:t>± 5.7</w:t>
            </w:r>
          </w:p>
          <w:p w14:paraId="00B6CB23"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-4.3 (-7.7 –  -2.7)</w:t>
            </w:r>
          </w:p>
        </w:tc>
        <w:tc>
          <w:tcPr>
            <w:tcW w:w="2693" w:type="dxa"/>
            <w:vAlign w:val="center"/>
          </w:tcPr>
          <w:p w14:paraId="7F9BA31A"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-1.0 </w:t>
            </w:r>
            <w:r w:rsidRPr="00C116D5">
              <w:rPr>
                <w:rFonts w:ascii="Arial" w:hAnsi="Arial" w:cs="Arial"/>
                <w:color w:val="000000"/>
                <w:sz w:val="20"/>
                <w:szCs w:val="20"/>
                <w:lang w:val="en-US"/>
              </w:rPr>
              <w:t>± 0.6</w:t>
            </w:r>
          </w:p>
          <w:p w14:paraId="10CD0ECA"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-0.9 (-1.5 –  -0.5)</w:t>
            </w:r>
          </w:p>
        </w:tc>
        <w:tc>
          <w:tcPr>
            <w:tcW w:w="2693" w:type="dxa"/>
            <w:vAlign w:val="center"/>
          </w:tcPr>
          <w:p w14:paraId="25BD2171"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-0.9 </w:t>
            </w:r>
            <w:r w:rsidRPr="00C116D5">
              <w:rPr>
                <w:rFonts w:ascii="Arial" w:hAnsi="Arial" w:cs="Arial"/>
                <w:color w:val="000000"/>
                <w:sz w:val="20"/>
                <w:szCs w:val="20"/>
                <w:lang w:val="en-US"/>
              </w:rPr>
              <w:t>± 0.6</w:t>
            </w:r>
          </w:p>
          <w:p w14:paraId="63B8BF85"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-0.7 (-1.3 –  -0.4)</w:t>
            </w:r>
          </w:p>
        </w:tc>
        <w:tc>
          <w:tcPr>
            <w:tcW w:w="1501" w:type="dxa"/>
            <w:vAlign w:val="center"/>
          </w:tcPr>
          <w:p w14:paraId="4198387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tc>
      </w:tr>
      <w:tr w:rsidR="008B5297" w:rsidRPr="00C116D5" w14:paraId="2E77D956" w14:textId="77777777" w:rsidTr="00023145">
        <w:tc>
          <w:tcPr>
            <w:tcW w:w="2253" w:type="dxa"/>
            <w:vAlign w:val="center"/>
          </w:tcPr>
          <w:p w14:paraId="55F897D1" w14:textId="77777777" w:rsidR="008B5297" w:rsidRPr="00C116D5" w:rsidRDefault="008B5297" w:rsidP="00023145">
            <w:pPr>
              <w:spacing w:line="360" w:lineRule="auto"/>
              <w:rPr>
                <w:rFonts w:ascii="Arial" w:hAnsi="Arial" w:cs="Arial"/>
                <w:sz w:val="20"/>
                <w:szCs w:val="20"/>
                <w:lang w:val="en-US"/>
              </w:rPr>
            </w:pPr>
            <w:r w:rsidRPr="00C116D5">
              <w:rPr>
                <w:rFonts w:ascii="Arial" w:hAnsi="Arial" w:cs="Arial"/>
                <w:sz w:val="20"/>
                <w:szCs w:val="20"/>
                <w:lang w:val="en-US"/>
              </w:rPr>
              <w:t>Pattern standard deviation (PSD)</w:t>
            </w:r>
          </w:p>
        </w:tc>
        <w:tc>
          <w:tcPr>
            <w:tcW w:w="2704" w:type="dxa"/>
            <w:vAlign w:val="center"/>
          </w:tcPr>
          <w:p w14:paraId="3CE51779"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4.9 </w:t>
            </w:r>
            <w:r w:rsidRPr="00C116D5">
              <w:rPr>
                <w:rFonts w:ascii="Arial" w:hAnsi="Arial" w:cs="Arial"/>
                <w:color w:val="000000"/>
                <w:sz w:val="20"/>
                <w:szCs w:val="20"/>
                <w:lang w:val="en-US"/>
              </w:rPr>
              <w:t>± 3.1</w:t>
            </w:r>
          </w:p>
          <w:p w14:paraId="3BC26209"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3.7 (2.7 – 6.3)</w:t>
            </w:r>
          </w:p>
        </w:tc>
        <w:tc>
          <w:tcPr>
            <w:tcW w:w="2693" w:type="dxa"/>
            <w:vAlign w:val="center"/>
          </w:tcPr>
          <w:p w14:paraId="2B37CE62"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1.4 </w:t>
            </w:r>
            <w:r w:rsidRPr="00C116D5">
              <w:rPr>
                <w:rFonts w:ascii="Arial" w:hAnsi="Arial" w:cs="Arial"/>
                <w:color w:val="000000"/>
                <w:sz w:val="20"/>
                <w:szCs w:val="20"/>
                <w:lang w:val="en-US"/>
              </w:rPr>
              <w:t>± 0.2</w:t>
            </w:r>
          </w:p>
          <w:p w14:paraId="16F55AA6"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color w:val="000000"/>
                <w:sz w:val="20"/>
                <w:szCs w:val="20"/>
                <w:lang w:val="en-US"/>
              </w:rPr>
              <w:t>1.4 (1.2 – 1.6)</w:t>
            </w:r>
          </w:p>
        </w:tc>
        <w:tc>
          <w:tcPr>
            <w:tcW w:w="2693" w:type="dxa"/>
            <w:vAlign w:val="center"/>
          </w:tcPr>
          <w:p w14:paraId="5DA34BFF" w14:textId="77777777" w:rsidR="008B5297" w:rsidRPr="00C116D5" w:rsidRDefault="008B5297" w:rsidP="00023145">
            <w:pPr>
              <w:spacing w:line="360" w:lineRule="auto"/>
              <w:jc w:val="center"/>
              <w:rPr>
                <w:rFonts w:ascii="Arial" w:hAnsi="Arial" w:cs="Arial"/>
                <w:color w:val="000000"/>
                <w:sz w:val="20"/>
                <w:szCs w:val="20"/>
                <w:lang w:val="en-US"/>
              </w:rPr>
            </w:pPr>
            <w:r w:rsidRPr="00C116D5">
              <w:rPr>
                <w:rFonts w:ascii="Arial" w:hAnsi="Arial" w:cs="Arial"/>
                <w:sz w:val="20"/>
                <w:szCs w:val="20"/>
                <w:lang w:val="en-US"/>
              </w:rPr>
              <w:t xml:space="preserve">1.5 </w:t>
            </w:r>
            <w:r w:rsidRPr="00C116D5">
              <w:rPr>
                <w:rFonts w:ascii="Arial" w:hAnsi="Arial" w:cs="Arial"/>
                <w:color w:val="000000"/>
                <w:sz w:val="20"/>
                <w:szCs w:val="20"/>
                <w:lang w:val="en-US"/>
              </w:rPr>
              <w:t>± 0.2</w:t>
            </w:r>
          </w:p>
          <w:p w14:paraId="5CA77098" w14:textId="77777777" w:rsidR="008B5297" w:rsidRPr="00C116D5" w:rsidRDefault="008B5297" w:rsidP="00023145">
            <w:pPr>
              <w:spacing w:line="360" w:lineRule="auto"/>
              <w:jc w:val="center"/>
              <w:rPr>
                <w:rFonts w:ascii="Arial" w:hAnsi="Arial" w:cs="Arial"/>
                <w:sz w:val="20"/>
                <w:szCs w:val="20"/>
                <w:lang w:val="en-US"/>
              </w:rPr>
            </w:pPr>
            <w:r w:rsidRPr="00C116D5">
              <w:rPr>
                <w:rFonts w:ascii="Arial" w:hAnsi="Arial" w:cs="Arial"/>
                <w:sz w:val="20"/>
                <w:szCs w:val="20"/>
                <w:lang w:val="en-US"/>
              </w:rPr>
              <w:t>1.5 (1.3 – 1.6)</w:t>
            </w:r>
          </w:p>
        </w:tc>
        <w:tc>
          <w:tcPr>
            <w:tcW w:w="1501" w:type="dxa"/>
            <w:vAlign w:val="center"/>
          </w:tcPr>
          <w:p w14:paraId="1E9753D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tc>
      </w:tr>
    </w:tbl>
    <w:p w14:paraId="46D9929B" w14:textId="77777777" w:rsidR="008B5297" w:rsidRPr="00C116D5" w:rsidRDefault="008B5297" w:rsidP="008B5297">
      <w:pPr>
        <w:autoSpaceDE w:val="0"/>
        <w:autoSpaceDN w:val="0"/>
        <w:adjustRightInd w:val="0"/>
        <w:spacing w:after="0" w:line="240" w:lineRule="auto"/>
        <w:rPr>
          <w:rFonts w:ascii="Arial" w:hAnsi="Arial" w:cs="Arial"/>
          <w:sz w:val="20"/>
          <w:szCs w:val="20"/>
          <w:lang w:val="en-US"/>
        </w:rPr>
      </w:pPr>
      <w:r w:rsidRPr="00C116D5">
        <w:rPr>
          <w:rFonts w:ascii="Arial" w:hAnsi="Arial" w:cs="Arial"/>
          <w:sz w:val="20"/>
          <w:szCs w:val="20"/>
          <w:lang w:val="en-US"/>
        </w:rPr>
        <w:t xml:space="preserve">Data which were expressed as mean + SD in the first row and median (quartiles) in the second row were compared using the </w:t>
      </w:r>
      <w:proofErr w:type="spellStart"/>
      <w:r w:rsidRPr="00C116D5">
        <w:rPr>
          <w:rFonts w:ascii="Arial" w:hAnsi="Arial" w:cs="Arial"/>
          <w:sz w:val="20"/>
          <w:szCs w:val="20"/>
          <w:lang w:val="en-US"/>
        </w:rPr>
        <w:t>Kruskal</w:t>
      </w:r>
      <w:proofErr w:type="spellEnd"/>
      <w:r w:rsidRPr="00C116D5">
        <w:rPr>
          <w:rFonts w:ascii="Arial" w:hAnsi="Arial" w:cs="Arial"/>
          <w:sz w:val="20"/>
          <w:szCs w:val="20"/>
          <w:lang w:val="en-US"/>
        </w:rPr>
        <w:t>-Wa</w:t>
      </w:r>
      <w:r w:rsidRPr="00E60F38">
        <w:rPr>
          <w:rFonts w:ascii="Arial" w:hAnsi="Arial" w:cs="Arial"/>
          <w:sz w:val="20"/>
          <w:szCs w:val="20"/>
          <w:lang w:val="en-US"/>
        </w:rPr>
        <w:t>ll</w:t>
      </w:r>
      <w:r w:rsidRPr="00C116D5">
        <w:rPr>
          <w:rFonts w:ascii="Arial" w:hAnsi="Arial" w:cs="Arial"/>
          <w:sz w:val="20"/>
          <w:szCs w:val="20"/>
          <w:lang w:val="en-US"/>
        </w:rPr>
        <w:t>is test;</w:t>
      </w:r>
      <w:r w:rsidRPr="00C116D5">
        <w:rPr>
          <w:rFonts w:ascii="Arial" w:hAnsi="Arial" w:cs="Arial"/>
          <w:sz w:val="20"/>
          <w:szCs w:val="20"/>
          <w:vertAlign w:val="superscript"/>
          <w:lang w:val="en-US"/>
        </w:rPr>
        <w:t xml:space="preserve"> a</w:t>
      </w:r>
      <w:r w:rsidRPr="00C116D5">
        <w:rPr>
          <w:rFonts w:ascii="Arial" w:hAnsi="Arial" w:cs="Arial"/>
          <w:sz w:val="20"/>
          <w:szCs w:val="20"/>
          <w:lang w:val="en-US"/>
        </w:rPr>
        <w:t xml:space="preserve"> P value is for comparison of three groups (PEG vs. PEX vs. Control); </w:t>
      </w:r>
    </w:p>
    <w:p w14:paraId="23DA2066" w14:textId="77777777" w:rsidR="008B5297" w:rsidRPr="00C116D5" w:rsidRDefault="008B5297" w:rsidP="008B5297">
      <w:pPr>
        <w:spacing w:after="0"/>
        <w:rPr>
          <w:rFonts w:ascii="Arial" w:hAnsi="Arial" w:cs="Arial"/>
          <w:sz w:val="20"/>
          <w:szCs w:val="20"/>
          <w:lang w:val="en-US"/>
        </w:rPr>
      </w:pPr>
      <w:r w:rsidRPr="00C116D5">
        <w:rPr>
          <w:rFonts w:ascii="Arial" w:hAnsi="Arial" w:cs="Arial"/>
          <w:sz w:val="20"/>
          <w:szCs w:val="20"/>
          <w:lang w:val="en-US"/>
        </w:rPr>
        <w:t>Data which were expressed as frequencies and percentages were compared using the chi-</w:t>
      </w:r>
      <w:r>
        <w:rPr>
          <w:rFonts w:ascii="Arial" w:hAnsi="Arial" w:cs="Arial"/>
          <w:sz w:val="20"/>
          <w:szCs w:val="20"/>
          <w:lang w:val="en-US"/>
        </w:rPr>
        <w:t>squared</w:t>
      </w:r>
      <w:r w:rsidRPr="00C116D5">
        <w:rPr>
          <w:rFonts w:ascii="Arial" w:hAnsi="Arial" w:cs="Arial"/>
          <w:sz w:val="20"/>
          <w:szCs w:val="20"/>
          <w:lang w:val="en-US"/>
        </w:rPr>
        <w:t xml:space="preserve"> test; </w:t>
      </w:r>
      <w:r w:rsidRPr="00C116D5">
        <w:rPr>
          <w:rFonts w:ascii="Arial" w:hAnsi="Arial" w:cs="Arial"/>
          <w:sz w:val="20"/>
          <w:szCs w:val="20"/>
          <w:vertAlign w:val="superscript"/>
          <w:lang w:val="en-US"/>
        </w:rPr>
        <w:t>b</w:t>
      </w:r>
      <w:r w:rsidRPr="00C116D5">
        <w:rPr>
          <w:rFonts w:ascii="Arial" w:hAnsi="Arial" w:cs="Arial"/>
          <w:sz w:val="20"/>
          <w:szCs w:val="20"/>
          <w:lang w:val="en-US"/>
        </w:rPr>
        <w:t xml:space="preserve"> PEG vs. control, </w:t>
      </w:r>
      <w:r w:rsidRPr="00C116D5">
        <w:rPr>
          <w:rFonts w:ascii="Arial" w:hAnsi="Arial" w:cs="Arial"/>
          <w:sz w:val="20"/>
          <w:szCs w:val="20"/>
          <w:vertAlign w:val="superscript"/>
          <w:lang w:val="en-US"/>
        </w:rPr>
        <w:t>c</w:t>
      </w:r>
      <w:r w:rsidRPr="00C116D5">
        <w:rPr>
          <w:rFonts w:ascii="Arial" w:hAnsi="Arial" w:cs="Arial"/>
          <w:sz w:val="20"/>
          <w:szCs w:val="20"/>
          <w:lang w:val="en-US"/>
        </w:rPr>
        <w:t xml:space="preserve"> PEX vs. control, </w:t>
      </w:r>
      <w:r w:rsidRPr="00C116D5">
        <w:rPr>
          <w:rFonts w:ascii="Arial" w:hAnsi="Arial" w:cs="Arial"/>
          <w:sz w:val="20"/>
          <w:szCs w:val="20"/>
          <w:vertAlign w:val="superscript"/>
          <w:lang w:val="en-US"/>
        </w:rPr>
        <w:t>d</w:t>
      </w:r>
      <w:r w:rsidRPr="00C116D5">
        <w:rPr>
          <w:rFonts w:ascii="Arial" w:hAnsi="Arial" w:cs="Arial"/>
          <w:sz w:val="20"/>
          <w:szCs w:val="20"/>
          <w:lang w:val="en-US"/>
        </w:rPr>
        <w:t xml:space="preserve"> PEG vs. PEX.</w:t>
      </w:r>
    </w:p>
    <w:p w14:paraId="0219A59A" w14:textId="77777777" w:rsidR="008B5297" w:rsidRPr="00C116D5" w:rsidRDefault="008B5297" w:rsidP="008B5297">
      <w:pPr>
        <w:rPr>
          <w:rFonts w:ascii="Arial" w:hAnsi="Arial" w:cs="Arial"/>
          <w:lang w:val="en-US"/>
        </w:rPr>
      </w:pPr>
      <w:proofErr w:type="gramStart"/>
      <w:r w:rsidRPr="00C116D5">
        <w:rPr>
          <w:rFonts w:ascii="Arial" w:hAnsi="Arial" w:cs="Arial"/>
          <w:b/>
          <w:lang w:val="en-US"/>
        </w:rPr>
        <w:lastRenderedPageBreak/>
        <w:t>Table 2.</w:t>
      </w:r>
      <w:proofErr w:type="gramEnd"/>
      <w:r w:rsidRPr="00C116D5">
        <w:rPr>
          <w:rFonts w:ascii="Arial" w:hAnsi="Arial" w:cs="Arial"/>
          <w:lang w:val="en-US"/>
        </w:rPr>
        <w:t xml:space="preserve"> </w:t>
      </w:r>
      <w:r w:rsidRPr="00E60F38">
        <w:rPr>
          <w:rFonts w:ascii="Arial" w:hAnsi="Arial" w:cs="Arial"/>
          <w:i/>
          <w:lang w:val="en-US"/>
        </w:rPr>
        <w:t>PON1</w:t>
      </w:r>
      <w:r w:rsidRPr="00C116D5">
        <w:rPr>
          <w:rFonts w:ascii="Arial" w:hAnsi="Arial" w:cs="Arial"/>
          <w:lang w:val="en-US"/>
        </w:rPr>
        <w:t xml:space="preserve"> </w:t>
      </w:r>
      <w:r w:rsidRPr="00E60F38">
        <w:rPr>
          <w:rFonts w:ascii="Arial" w:hAnsi="Arial" w:cs="Arial"/>
          <w:i/>
          <w:color w:val="000000" w:themeColor="text1"/>
          <w:lang w:val="en-US"/>
        </w:rPr>
        <w:t>−107T/C</w:t>
      </w:r>
      <w:r>
        <w:rPr>
          <w:rFonts w:ascii="Arial" w:hAnsi="Arial" w:cs="Arial"/>
          <w:i/>
          <w:color w:val="000000" w:themeColor="text1"/>
          <w:lang w:val="en-US"/>
        </w:rPr>
        <w:t xml:space="preserve"> </w:t>
      </w:r>
      <w:r w:rsidRPr="00CF2289">
        <w:rPr>
          <w:rFonts w:ascii="Arial" w:hAnsi="Arial" w:cs="Arial"/>
          <w:color w:val="000000" w:themeColor="text1"/>
          <w:lang w:val="en-US"/>
        </w:rPr>
        <w:t>(</w:t>
      </w:r>
      <w:r w:rsidRPr="00CF2289">
        <w:rPr>
          <w:rFonts w:ascii="Arial" w:hAnsi="Arial" w:cs="Arial"/>
          <w:i/>
          <w:color w:val="000000" w:themeColor="text1"/>
          <w:lang w:val="en-US"/>
        </w:rPr>
        <w:t>rs</w:t>
      </w:r>
      <w:r w:rsidRPr="00CF2289">
        <w:rPr>
          <w:rFonts w:ascii="Arial" w:hAnsi="Arial" w:cs="Arial"/>
          <w:i/>
          <w:color w:val="000000" w:themeColor="text1"/>
          <w:shd w:val="clear" w:color="auto" w:fill="FFFFFF"/>
          <w:lang w:val="en-US"/>
        </w:rPr>
        <w:t>705379</w:t>
      </w:r>
      <w:r>
        <w:rPr>
          <w:rFonts w:ascii="Arial" w:hAnsi="Arial" w:cs="Arial"/>
          <w:color w:val="000000" w:themeColor="text1"/>
          <w:lang w:val="en-US"/>
        </w:rPr>
        <w:t xml:space="preserve">) </w:t>
      </w:r>
      <w:r w:rsidRPr="00C116D5">
        <w:rPr>
          <w:rFonts w:ascii="Arial" w:hAnsi="Arial" w:cs="Arial"/>
          <w:lang w:val="en-US"/>
        </w:rPr>
        <w:t>genotype and a</w:t>
      </w:r>
      <w:r w:rsidRPr="003654C8">
        <w:rPr>
          <w:rFonts w:ascii="Arial" w:hAnsi="Arial" w:cs="Arial"/>
          <w:lang w:val="en-US"/>
        </w:rPr>
        <w:t>ll</w:t>
      </w:r>
      <w:r w:rsidRPr="00C116D5">
        <w:rPr>
          <w:rFonts w:ascii="Arial" w:hAnsi="Arial" w:cs="Arial"/>
          <w:lang w:val="en-US"/>
        </w:rPr>
        <w:t xml:space="preserve">ele frequencies of PEG patients, PEX patients and controls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417"/>
        <w:gridCol w:w="1417"/>
        <w:gridCol w:w="1446"/>
        <w:gridCol w:w="2806"/>
        <w:gridCol w:w="1135"/>
      </w:tblGrid>
      <w:tr w:rsidR="008B5297" w:rsidRPr="00C116D5" w14:paraId="54E00550" w14:textId="77777777" w:rsidTr="00023145">
        <w:trPr>
          <w:trHeight w:val="539"/>
        </w:trPr>
        <w:tc>
          <w:tcPr>
            <w:tcW w:w="2122" w:type="dxa"/>
            <w:vAlign w:val="center"/>
          </w:tcPr>
          <w:p w14:paraId="2CF2AF6E" w14:textId="77777777" w:rsidR="008B5297" w:rsidRPr="00C116D5" w:rsidRDefault="008B5297" w:rsidP="00023145">
            <w:pPr>
              <w:spacing w:after="0" w:line="360" w:lineRule="auto"/>
              <w:jc w:val="center"/>
              <w:rPr>
                <w:rFonts w:ascii="Arial" w:eastAsia="Calibri" w:hAnsi="Arial" w:cs="Arial"/>
                <w:b/>
                <w:lang w:val="en-US"/>
              </w:rPr>
            </w:pPr>
          </w:p>
        </w:tc>
        <w:tc>
          <w:tcPr>
            <w:tcW w:w="1417" w:type="dxa"/>
            <w:vAlign w:val="center"/>
          </w:tcPr>
          <w:p w14:paraId="7540E86D"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PEG</w:t>
            </w:r>
          </w:p>
          <w:p w14:paraId="562189CB"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w:t>
            </w:r>
            <w:r w:rsidRPr="00C116D5">
              <w:rPr>
                <w:rFonts w:ascii="Arial" w:eastAsia="Calibri" w:hAnsi="Arial" w:cs="Arial"/>
                <w:b/>
                <w:i/>
                <w:color w:val="000000" w:themeColor="text1"/>
                <w:lang w:val="en-US"/>
              </w:rPr>
              <w:t>n</w:t>
            </w:r>
            <w:r w:rsidRPr="00C116D5">
              <w:rPr>
                <w:rFonts w:ascii="Arial" w:eastAsia="Calibri" w:hAnsi="Arial" w:cs="Arial"/>
                <w:b/>
                <w:color w:val="000000" w:themeColor="text1"/>
                <w:lang w:val="en-US"/>
              </w:rPr>
              <w:t>=150)</w:t>
            </w:r>
          </w:p>
        </w:tc>
        <w:tc>
          <w:tcPr>
            <w:tcW w:w="1417" w:type="dxa"/>
            <w:vAlign w:val="center"/>
          </w:tcPr>
          <w:p w14:paraId="5FB015AC"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PEX</w:t>
            </w:r>
          </w:p>
          <w:p w14:paraId="013C5B07"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w:t>
            </w:r>
            <w:r w:rsidRPr="00C116D5">
              <w:rPr>
                <w:rFonts w:ascii="Arial" w:eastAsia="Calibri" w:hAnsi="Arial" w:cs="Arial"/>
                <w:b/>
                <w:i/>
                <w:lang w:val="en-US"/>
              </w:rPr>
              <w:t>n</w:t>
            </w:r>
            <w:r w:rsidRPr="00C116D5">
              <w:rPr>
                <w:rFonts w:ascii="Arial" w:eastAsia="Calibri" w:hAnsi="Arial" w:cs="Arial"/>
                <w:b/>
                <w:lang w:val="en-US"/>
              </w:rPr>
              <w:t>=150)</w:t>
            </w:r>
          </w:p>
        </w:tc>
        <w:tc>
          <w:tcPr>
            <w:tcW w:w="1446" w:type="dxa"/>
            <w:vAlign w:val="center"/>
          </w:tcPr>
          <w:p w14:paraId="037CD278"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Control</w:t>
            </w:r>
          </w:p>
          <w:p w14:paraId="66A2FE8A"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w:t>
            </w:r>
            <w:r w:rsidRPr="00C116D5">
              <w:rPr>
                <w:rFonts w:ascii="Arial" w:eastAsia="Calibri" w:hAnsi="Arial" w:cs="Arial"/>
                <w:b/>
                <w:i/>
                <w:lang w:val="en-US"/>
              </w:rPr>
              <w:t>n</w:t>
            </w:r>
            <w:r w:rsidRPr="00C116D5">
              <w:rPr>
                <w:rFonts w:ascii="Arial" w:eastAsia="Calibri" w:hAnsi="Arial" w:cs="Arial"/>
                <w:b/>
                <w:lang w:val="en-US"/>
              </w:rPr>
              <w:t>=150)</w:t>
            </w:r>
          </w:p>
        </w:tc>
        <w:tc>
          <w:tcPr>
            <w:tcW w:w="2806" w:type="dxa"/>
            <w:vAlign w:val="center"/>
          </w:tcPr>
          <w:p w14:paraId="160BDB45"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OR (95% CI)</w:t>
            </w:r>
          </w:p>
        </w:tc>
        <w:tc>
          <w:tcPr>
            <w:tcW w:w="1135" w:type="dxa"/>
            <w:vAlign w:val="center"/>
          </w:tcPr>
          <w:p w14:paraId="5FE7A634" w14:textId="77777777" w:rsidR="008B5297" w:rsidRPr="00C116D5" w:rsidRDefault="008B5297" w:rsidP="00023145">
            <w:pPr>
              <w:spacing w:after="0" w:line="360" w:lineRule="auto"/>
              <w:jc w:val="center"/>
              <w:rPr>
                <w:rFonts w:ascii="Arial" w:eastAsia="Calibri" w:hAnsi="Arial" w:cs="Arial"/>
                <w:b/>
                <w:i/>
                <w:lang w:val="en-US"/>
              </w:rPr>
            </w:pPr>
            <w:r w:rsidRPr="00C116D5">
              <w:rPr>
                <w:rFonts w:ascii="Arial" w:eastAsia="Calibri" w:hAnsi="Arial" w:cs="Arial"/>
                <w:b/>
                <w:i/>
                <w:lang w:val="en-US"/>
              </w:rPr>
              <w:t>P</w:t>
            </w:r>
          </w:p>
        </w:tc>
      </w:tr>
      <w:tr w:rsidR="008B5297" w:rsidRPr="00C116D5" w14:paraId="622CBA91" w14:textId="77777777" w:rsidTr="00023145">
        <w:trPr>
          <w:trHeight w:val="398"/>
        </w:trPr>
        <w:tc>
          <w:tcPr>
            <w:tcW w:w="2122" w:type="dxa"/>
            <w:vAlign w:val="center"/>
          </w:tcPr>
          <w:p w14:paraId="3138A189" w14:textId="77777777" w:rsidR="008B5297" w:rsidRPr="00C116D5" w:rsidRDefault="008B5297" w:rsidP="00023145">
            <w:pPr>
              <w:spacing w:after="0" w:line="360" w:lineRule="auto"/>
              <w:rPr>
                <w:rFonts w:ascii="Arial" w:eastAsia="Calibri" w:hAnsi="Arial" w:cs="Arial"/>
                <w:b/>
                <w:lang w:val="en-US"/>
              </w:rPr>
            </w:pPr>
            <w:r w:rsidRPr="00C116D5">
              <w:rPr>
                <w:rFonts w:ascii="Arial" w:eastAsia="Calibri" w:hAnsi="Arial" w:cs="Arial"/>
                <w:b/>
                <w:lang w:val="en-US"/>
              </w:rPr>
              <w:t xml:space="preserve">Genotypes, </w:t>
            </w:r>
            <w:r w:rsidRPr="00C116D5">
              <w:rPr>
                <w:rFonts w:ascii="Arial" w:eastAsia="Calibri" w:hAnsi="Arial" w:cs="Arial"/>
                <w:b/>
                <w:i/>
                <w:lang w:val="en-US"/>
              </w:rPr>
              <w:t>n</w:t>
            </w:r>
            <w:r w:rsidRPr="00C116D5">
              <w:rPr>
                <w:rFonts w:ascii="Arial" w:eastAsia="Calibri" w:hAnsi="Arial" w:cs="Arial"/>
                <w:b/>
                <w:lang w:val="en-US"/>
              </w:rPr>
              <w:t xml:space="preserve"> (%)</w:t>
            </w:r>
          </w:p>
        </w:tc>
        <w:tc>
          <w:tcPr>
            <w:tcW w:w="1417" w:type="dxa"/>
            <w:vAlign w:val="center"/>
          </w:tcPr>
          <w:p w14:paraId="6499C595"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417" w:type="dxa"/>
            <w:vAlign w:val="center"/>
          </w:tcPr>
          <w:p w14:paraId="7A3DC389" w14:textId="77777777" w:rsidR="008B5297" w:rsidRPr="00C116D5" w:rsidRDefault="008B5297" w:rsidP="00023145">
            <w:pPr>
              <w:spacing w:after="0" w:line="360" w:lineRule="auto"/>
              <w:jc w:val="center"/>
              <w:rPr>
                <w:rFonts w:ascii="Arial" w:eastAsia="Calibri" w:hAnsi="Arial" w:cs="Arial"/>
                <w:lang w:val="en-US"/>
              </w:rPr>
            </w:pPr>
          </w:p>
        </w:tc>
        <w:tc>
          <w:tcPr>
            <w:tcW w:w="1446" w:type="dxa"/>
            <w:vAlign w:val="center"/>
          </w:tcPr>
          <w:p w14:paraId="2E8359E1" w14:textId="77777777" w:rsidR="008B5297" w:rsidRPr="00C116D5" w:rsidRDefault="008B5297" w:rsidP="00023145">
            <w:pPr>
              <w:spacing w:after="0" w:line="360" w:lineRule="auto"/>
              <w:jc w:val="center"/>
              <w:rPr>
                <w:rFonts w:ascii="Arial" w:eastAsia="Calibri" w:hAnsi="Arial" w:cs="Arial"/>
                <w:lang w:val="en-US"/>
              </w:rPr>
            </w:pPr>
          </w:p>
        </w:tc>
        <w:tc>
          <w:tcPr>
            <w:tcW w:w="2806" w:type="dxa"/>
          </w:tcPr>
          <w:p w14:paraId="001BD101" w14:textId="77777777" w:rsidR="008B5297" w:rsidRPr="00C116D5" w:rsidRDefault="008B5297" w:rsidP="00023145">
            <w:pPr>
              <w:spacing w:after="0" w:line="360" w:lineRule="auto"/>
              <w:jc w:val="center"/>
              <w:rPr>
                <w:rFonts w:ascii="Arial" w:eastAsia="Calibri" w:hAnsi="Arial" w:cs="Arial"/>
                <w:lang w:val="en-US"/>
              </w:rPr>
            </w:pPr>
          </w:p>
        </w:tc>
        <w:tc>
          <w:tcPr>
            <w:tcW w:w="1135" w:type="dxa"/>
          </w:tcPr>
          <w:p w14:paraId="462DB2AF" w14:textId="77777777" w:rsidR="008B5297" w:rsidRPr="00C116D5" w:rsidRDefault="008B5297" w:rsidP="00023145">
            <w:pPr>
              <w:spacing w:after="0" w:line="360" w:lineRule="auto"/>
              <w:jc w:val="center"/>
              <w:rPr>
                <w:rFonts w:ascii="Arial" w:eastAsia="Calibri" w:hAnsi="Arial" w:cs="Arial"/>
                <w:lang w:val="en-US"/>
              </w:rPr>
            </w:pPr>
          </w:p>
        </w:tc>
      </w:tr>
      <w:tr w:rsidR="008B5297" w:rsidRPr="00C116D5" w14:paraId="39E1E0B4" w14:textId="77777777" w:rsidTr="00023145">
        <w:trPr>
          <w:trHeight w:val="803"/>
        </w:trPr>
        <w:tc>
          <w:tcPr>
            <w:tcW w:w="2122" w:type="dxa"/>
            <w:vAlign w:val="center"/>
          </w:tcPr>
          <w:p w14:paraId="68FE307A" w14:textId="77777777" w:rsidR="008B5297" w:rsidRPr="00C116D5" w:rsidRDefault="008B5297" w:rsidP="00023145">
            <w:pPr>
              <w:spacing w:after="0" w:line="360" w:lineRule="auto"/>
              <w:rPr>
                <w:rFonts w:ascii="Arial" w:eastAsia="Calibri" w:hAnsi="Arial" w:cs="Arial"/>
                <w:b/>
                <w:lang w:val="en-US"/>
              </w:rPr>
            </w:pPr>
            <w:r w:rsidRPr="00E60F38">
              <w:rPr>
                <w:rFonts w:ascii="Arial" w:eastAsia="Calibri" w:hAnsi="Arial" w:cs="Arial"/>
                <w:b/>
                <w:i/>
                <w:lang w:val="en-US"/>
              </w:rPr>
              <w:t>TT</w:t>
            </w:r>
            <w:r w:rsidRPr="00C116D5">
              <w:rPr>
                <w:rFonts w:ascii="Arial" w:eastAsia="Calibri" w:hAnsi="Arial" w:cs="Arial"/>
                <w:b/>
                <w:lang w:val="en-US"/>
              </w:rPr>
              <w:t xml:space="preserve"> </w:t>
            </w:r>
            <w:r w:rsidRPr="00C116D5">
              <w:rPr>
                <w:rFonts w:ascii="Arial" w:eastAsia="Calibri" w:hAnsi="Arial" w:cs="Arial"/>
                <w:lang w:val="en-US"/>
              </w:rPr>
              <w:t>(</w:t>
            </w:r>
            <w:r w:rsidRPr="00C116D5">
              <w:rPr>
                <w:rFonts w:ascii="Arial" w:eastAsia="Calibri" w:hAnsi="Arial" w:cs="Arial"/>
                <w:i/>
                <w:lang w:val="en-US"/>
              </w:rPr>
              <w:t>n</w:t>
            </w:r>
            <w:r w:rsidRPr="00C116D5">
              <w:rPr>
                <w:rFonts w:ascii="Arial" w:eastAsia="Calibri" w:hAnsi="Arial" w:cs="Arial"/>
                <w:lang w:val="en-US"/>
              </w:rPr>
              <w:t>=153)</w:t>
            </w:r>
          </w:p>
        </w:tc>
        <w:tc>
          <w:tcPr>
            <w:tcW w:w="1417" w:type="dxa"/>
            <w:vAlign w:val="center"/>
          </w:tcPr>
          <w:p w14:paraId="7A96B66C"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45 (30.0)</w:t>
            </w:r>
          </w:p>
        </w:tc>
        <w:tc>
          <w:tcPr>
            <w:tcW w:w="1417" w:type="dxa"/>
            <w:vAlign w:val="center"/>
          </w:tcPr>
          <w:p w14:paraId="02E141FA"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63 (42.0)</w:t>
            </w:r>
          </w:p>
        </w:tc>
        <w:tc>
          <w:tcPr>
            <w:tcW w:w="1446" w:type="dxa"/>
            <w:vAlign w:val="center"/>
          </w:tcPr>
          <w:p w14:paraId="16ACC74D"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45 (30.0)</w:t>
            </w:r>
          </w:p>
        </w:tc>
        <w:tc>
          <w:tcPr>
            <w:tcW w:w="2806" w:type="dxa"/>
            <w:vMerge w:val="restart"/>
          </w:tcPr>
          <w:p w14:paraId="7D668048"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1.506</w:t>
            </w:r>
            <w:r w:rsidRPr="00C116D5">
              <w:rPr>
                <w:rFonts w:ascii="Arial" w:eastAsia="Calibri" w:hAnsi="Arial" w:cs="Arial"/>
                <w:color w:val="000000" w:themeColor="text1"/>
                <w:vertAlign w:val="superscript"/>
                <w:lang w:val="en-US"/>
              </w:rPr>
              <w:t xml:space="preserve">a </w:t>
            </w:r>
            <w:r w:rsidRPr="00C116D5">
              <w:rPr>
                <w:rFonts w:ascii="Arial" w:eastAsia="Calibri" w:hAnsi="Arial" w:cs="Arial"/>
                <w:color w:val="000000" w:themeColor="text1"/>
                <w:lang w:val="en-US"/>
              </w:rPr>
              <w:t>(</w:t>
            </w:r>
            <w:r w:rsidRPr="00C116D5">
              <w:rPr>
                <w:rFonts w:ascii="Arial" w:hAnsi="Arial" w:cs="Arial"/>
                <w:color w:val="000000" w:themeColor="text1"/>
              </w:rPr>
              <w:t>0.856 - 2.650</w:t>
            </w:r>
            <w:r w:rsidRPr="00C116D5">
              <w:rPr>
                <w:rFonts w:ascii="Arial" w:eastAsia="Calibri" w:hAnsi="Arial" w:cs="Arial"/>
                <w:color w:val="000000" w:themeColor="text1"/>
                <w:lang w:val="en-US"/>
              </w:rPr>
              <w:t>)</w:t>
            </w:r>
          </w:p>
          <w:p w14:paraId="60543A8C"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1.293</w:t>
            </w:r>
            <w:r w:rsidRPr="00C116D5">
              <w:rPr>
                <w:rFonts w:ascii="Arial" w:eastAsia="Calibri" w:hAnsi="Arial" w:cs="Arial"/>
                <w:color w:val="000000" w:themeColor="text1"/>
                <w:vertAlign w:val="superscript"/>
                <w:lang w:val="en-US"/>
              </w:rPr>
              <w:t xml:space="preserve">b </w:t>
            </w:r>
            <w:r w:rsidRPr="00C116D5">
              <w:rPr>
                <w:rFonts w:ascii="Arial" w:eastAsia="Calibri" w:hAnsi="Arial" w:cs="Arial"/>
                <w:color w:val="000000" w:themeColor="text1"/>
                <w:lang w:val="en-US"/>
              </w:rPr>
              <w:t>(</w:t>
            </w:r>
            <w:r w:rsidRPr="00C116D5">
              <w:rPr>
                <w:rFonts w:ascii="Arial" w:hAnsi="Arial" w:cs="Arial"/>
                <w:color w:val="000000" w:themeColor="text1"/>
              </w:rPr>
              <w:t>0.727 - 2.300</w:t>
            </w:r>
            <w:r w:rsidRPr="00C116D5">
              <w:rPr>
                <w:rFonts w:ascii="Arial" w:eastAsia="Calibri" w:hAnsi="Arial" w:cs="Arial"/>
                <w:color w:val="000000" w:themeColor="text1"/>
                <w:lang w:val="en-US"/>
              </w:rPr>
              <w:t>)</w:t>
            </w:r>
          </w:p>
          <w:p w14:paraId="1A56F862"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1.165</w:t>
            </w:r>
            <w:r w:rsidRPr="00C116D5">
              <w:rPr>
                <w:rFonts w:ascii="Arial" w:eastAsia="Calibri" w:hAnsi="Arial" w:cs="Arial"/>
                <w:color w:val="000000" w:themeColor="text1"/>
                <w:vertAlign w:val="superscript"/>
                <w:lang w:val="en-US"/>
              </w:rPr>
              <w:t>c</w:t>
            </w:r>
            <w:r w:rsidRPr="00C116D5">
              <w:rPr>
                <w:rFonts w:ascii="Arial" w:eastAsia="Calibri" w:hAnsi="Arial" w:cs="Arial"/>
                <w:color w:val="000000" w:themeColor="text1"/>
                <w:lang w:val="en-US"/>
              </w:rPr>
              <w:t xml:space="preserve"> (</w:t>
            </w:r>
            <w:r w:rsidRPr="00C116D5">
              <w:rPr>
                <w:rFonts w:ascii="Arial" w:hAnsi="Arial" w:cs="Arial"/>
                <w:color w:val="000000" w:themeColor="text1"/>
              </w:rPr>
              <w:t>0.678 - 2.001</w:t>
            </w:r>
            <w:r w:rsidRPr="00C116D5">
              <w:rPr>
                <w:rFonts w:ascii="Arial" w:eastAsia="Calibri" w:hAnsi="Arial" w:cs="Arial"/>
                <w:color w:val="000000" w:themeColor="text1"/>
                <w:lang w:val="en-US"/>
              </w:rPr>
              <w:t>)</w:t>
            </w:r>
          </w:p>
          <w:p w14:paraId="1583942E"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1.000</w:t>
            </w:r>
            <w:r w:rsidRPr="00C116D5">
              <w:rPr>
                <w:rFonts w:ascii="Arial" w:eastAsia="Calibri" w:hAnsi="Arial" w:cs="Arial"/>
                <w:color w:val="000000" w:themeColor="text1"/>
                <w:vertAlign w:val="superscript"/>
                <w:lang w:val="en-US"/>
              </w:rPr>
              <w:t>d</w:t>
            </w:r>
            <w:r w:rsidRPr="00C116D5">
              <w:rPr>
                <w:rFonts w:ascii="Arial" w:eastAsia="Calibri" w:hAnsi="Arial" w:cs="Arial"/>
                <w:color w:val="000000" w:themeColor="text1"/>
                <w:lang w:val="en-US"/>
              </w:rPr>
              <w:t xml:space="preserve"> (</w:t>
            </w:r>
            <w:r w:rsidRPr="00C116D5">
              <w:rPr>
                <w:rFonts w:ascii="Arial" w:hAnsi="Arial" w:cs="Arial"/>
                <w:color w:val="000000" w:themeColor="text1"/>
              </w:rPr>
              <w:t>0.610 - 1.639</w:t>
            </w:r>
            <w:r w:rsidRPr="00C116D5">
              <w:rPr>
                <w:rFonts w:ascii="Arial" w:eastAsia="Calibri" w:hAnsi="Arial" w:cs="Arial"/>
                <w:color w:val="000000" w:themeColor="text1"/>
                <w:lang w:val="en-US"/>
              </w:rPr>
              <w:t>)</w:t>
            </w:r>
          </w:p>
          <w:p w14:paraId="73D8749C"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eastAsia="Calibri" w:hAnsi="Arial" w:cs="Arial"/>
                <w:color w:val="000000" w:themeColor="text1"/>
                <w:lang w:val="en-US"/>
              </w:rPr>
              <w:t>0.592</w:t>
            </w:r>
            <w:r w:rsidRPr="00C116D5">
              <w:rPr>
                <w:rFonts w:ascii="Arial" w:eastAsia="Calibri" w:hAnsi="Arial" w:cs="Arial"/>
                <w:color w:val="000000" w:themeColor="text1"/>
                <w:vertAlign w:val="superscript"/>
                <w:lang w:val="en-US"/>
              </w:rPr>
              <w:t>e</w:t>
            </w:r>
            <w:r w:rsidRPr="00C116D5">
              <w:rPr>
                <w:rFonts w:ascii="Arial" w:eastAsia="Calibri" w:hAnsi="Arial" w:cs="Arial"/>
                <w:color w:val="000000" w:themeColor="text1"/>
                <w:lang w:val="en-US"/>
              </w:rPr>
              <w:t xml:space="preserve"> (</w:t>
            </w:r>
            <w:r w:rsidRPr="00C116D5">
              <w:rPr>
                <w:rFonts w:ascii="Arial" w:hAnsi="Arial" w:cs="Arial"/>
                <w:color w:val="000000" w:themeColor="text1"/>
              </w:rPr>
              <w:t>0.367 - 0.953)</w:t>
            </w:r>
          </w:p>
          <w:p w14:paraId="51FE84F3"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hAnsi="Arial" w:cs="Arial"/>
                <w:color w:val="000000" w:themeColor="text1"/>
              </w:rPr>
              <w:t>1.690</w:t>
            </w:r>
            <w:r w:rsidRPr="00C116D5">
              <w:rPr>
                <w:rFonts w:ascii="Arial" w:hAnsi="Arial" w:cs="Arial"/>
                <w:color w:val="000000" w:themeColor="text1"/>
                <w:vertAlign w:val="superscript"/>
              </w:rPr>
              <w:t>f</w:t>
            </w:r>
            <w:r w:rsidRPr="00C116D5">
              <w:rPr>
                <w:rFonts w:ascii="Arial" w:hAnsi="Arial" w:cs="Arial"/>
                <w:color w:val="000000" w:themeColor="text1"/>
              </w:rPr>
              <w:t xml:space="preserve"> (1.049 - 2.721)</w:t>
            </w:r>
          </w:p>
        </w:tc>
        <w:tc>
          <w:tcPr>
            <w:tcW w:w="1135" w:type="dxa"/>
            <w:vMerge w:val="restart"/>
          </w:tcPr>
          <w:p w14:paraId="2C3F36EB"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0.154</w:t>
            </w:r>
            <w:r w:rsidRPr="00C116D5">
              <w:rPr>
                <w:rFonts w:ascii="Arial" w:eastAsia="Calibri" w:hAnsi="Arial" w:cs="Arial"/>
                <w:color w:val="000000" w:themeColor="text1"/>
                <w:vertAlign w:val="superscript"/>
                <w:lang w:val="en-US"/>
              </w:rPr>
              <w:t>a</w:t>
            </w:r>
          </w:p>
          <w:p w14:paraId="102AAAA5"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0.380</w:t>
            </w:r>
            <w:r w:rsidRPr="00C116D5">
              <w:rPr>
                <w:rFonts w:ascii="Arial" w:eastAsia="Calibri" w:hAnsi="Arial" w:cs="Arial"/>
                <w:color w:val="000000" w:themeColor="text1"/>
                <w:vertAlign w:val="superscript"/>
                <w:lang w:val="en-US"/>
              </w:rPr>
              <w:t>b</w:t>
            </w:r>
          </w:p>
          <w:p w14:paraId="4FE1242D"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0.581</w:t>
            </w:r>
            <w:r w:rsidRPr="00C116D5">
              <w:rPr>
                <w:rFonts w:ascii="Arial" w:eastAsia="Calibri" w:hAnsi="Arial" w:cs="Arial"/>
                <w:color w:val="000000" w:themeColor="text1"/>
                <w:vertAlign w:val="superscript"/>
                <w:lang w:val="en-US"/>
              </w:rPr>
              <w:t>c</w:t>
            </w:r>
          </w:p>
          <w:p w14:paraId="0B35C0F2"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1.000</w:t>
            </w:r>
            <w:r w:rsidRPr="00C116D5">
              <w:rPr>
                <w:rFonts w:ascii="Arial" w:eastAsia="Calibri" w:hAnsi="Arial" w:cs="Arial"/>
                <w:color w:val="000000" w:themeColor="text1"/>
                <w:vertAlign w:val="superscript"/>
                <w:lang w:val="en-US"/>
              </w:rPr>
              <w:t>d</w:t>
            </w:r>
          </w:p>
          <w:p w14:paraId="2837BB4A"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0.030</w:t>
            </w:r>
            <w:r w:rsidRPr="00C116D5">
              <w:rPr>
                <w:rFonts w:ascii="Arial" w:eastAsia="Calibri" w:hAnsi="Arial" w:cs="Arial"/>
                <w:color w:val="000000" w:themeColor="text1"/>
                <w:vertAlign w:val="superscript"/>
                <w:lang w:val="en-US"/>
              </w:rPr>
              <w:t>e</w:t>
            </w:r>
          </w:p>
          <w:p w14:paraId="7D18C246"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0.030</w:t>
            </w:r>
            <w:r w:rsidRPr="00C116D5">
              <w:rPr>
                <w:rFonts w:ascii="Arial" w:eastAsia="Calibri" w:hAnsi="Arial" w:cs="Arial"/>
                <w:color w:val="000000" w:themeColor="text1"/>
                <w:vertAlign w:val="superscript"/>
                <w:lang w:val="en-US"/>
              </w:rPr>
              <w:t>f</w:t>
            </w:r>
          </w:p>
        </w:tc>
      </w:tr>
      <w:tr w:rsidR="008B5297" w:rsidRPr="00C116D5" w14:paraId="5A3C8961" w14:textId="77777777" w:rsidTr="00023145">
        <w:trPr>
          <w:trHeight w:val="769"/>
        </w:trPr>
        <w:tc>
          <w:tcPr>
            <w:tcW w:w="2122" w:type="dxa"/>
            <w:vAlign w:val="center"/>
          </w:tcPr>
          <w:p w14:paraId="29763B2C" w14:textId="77777777" w:rsidR="008B5297" w:rsidRPr="00C116D5" w:rsidRDefault="008B5297" w:rsidP="00023145">
            <w:pPr>
              <w:spacing w:after="0" w:line="360" w:lineRule="auto"/>
              <w:rPr>
                <w:rFonts w:ascii="Arial" w:eastAsia="Calibri" w:hAnsi="Arial" w:cs="Arial"/>
                <w:b/>
                <w:lang w:val="en-US"/>
              </w:rPr>
            </w:pPr>
            <w:r w:rsidRPr="003654C8">
              <w:rPr>
                <w:rFonts w:ascii="Arial" w:eastAsia="Calibri" w:hAnsi="Arial" w:cs="Arial"/>
                <w:b/>
                <w:i/>
                <w:lang w:val="en-US"/>
              </w:rPr>
              <w:t>TC</w:t>
            </w:r>
            <w:r w:rsidRPr="00C116D5">
              <w:rPr>
                <w:rFonts w:ascii="Arial" w:eastAsia="Calibri" w:hAnsi="Arial" w:cs="Arial"/>
                <w:b/>
                <w:lang w:val="en-US"/>
              </w:rPr>
              <w:t xml:space="preserve"> </w:t>
            </w:r>
            <w:r w:rsidRPr="00C116D5">
              <w:rPr>
                <w:rFonts w:ascii="Arial" w:eastAsia="Calibri" w:hAnsi="Arial" w:cs="Arial"/>
                <w:lang w:val="en-US"/>
              </w:rPr>
              <w:t>(</w:t>
            </w:r>
            <w:r w:rsidRPr="00C116D5">
              <w:rPr>
                <w:rFonts w:ascii="Arial" w:eastAsia="Calibri" w:hAnsi="Arial" w:cs="Arial"/>
                <w:i/>
                <w:lang w:val="en-US"/>
              </w:rPr>
              <w:t>n</w:t>
            </w:r>
            <w:r w:rsidRPr="00C116D5">
              <w:rPr>
                <w:rFonts w:ascii="Arial" w:eastAsia="Calibri" w:hAnsi="Arial" w:cs="Arial"/>
                <w:lang w:val="en-US"/>
              </w:rPr>
              <w:t>=203)</w:t>
            </w:r>
          </w:p>
        </w:tc>
        <w:tc>
          <w:tcPr>
            <w:tcW w:w="1417" w:type="dxa"/>
            <w:vAlign w:val="center"/>
          </w:tcPr>
          <w:p w14:paraId="37C8E266"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69 (46.0)</w:t>
            </w:r>
          </w:p>
        </w:tc>
        <w:tc>
          <w:tcPr>
            <w:tcW w:w="1417" w:type="dxa"/>
            <w:vAlign w:val="center"/>
          </w:tcPr>
          <w:p w14:paraId="30A22D9C"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55 (36.</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6</m:t>
                  </m:r>
                </m:e>
              </m:bar>
            </m:oMath>
            <w:r w:rsidRPr="00C116D5">
              <w:rPr>
                <w:rFonts w:ascii="Arial" w:eastAsia="Calibri" w:hAnsi="Arial" w:cs="Arial"/>
                <w:lang w:val="en-US"/>
              </w:rPr>
              <w:t>)</w:t>
            </w:r>
          </w:p>
        </w:tc>
        <w:tc>
          <w:tcPr>
            <w:tcW w:w="1446" w:type="dxa"/>
            <w:vAlign w:val="center"/>
          </w:tcPr>
          <w:p w14:paraId="58BC893F"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79 (52.</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6</m:t>
                  </m:r>
                </m:e>
              </m:bar>
            </m:oMath>
            <w:r w:rsidRPr="00C116D5">
              <w:rPr>
                <w:rFonts w:ascii="Arial" w:eastAsia="Calibri" w:hAnsi="Arial" w:cs="Arial"/>
                <w:lang w:val="en-US"/>
              </w:rPr>
              <w:t>)</w:t>
            </w:r>
          </w:p>
        </w:tc>
        <w:tc>
          <w:tcPr>
            <w:tcW w:w="2806" w:type="dxa"/>
            <w:vMerge/>
            <w:vAlign w:val="center"/>
          </w:tcPr>
          <w:p w14:paraId="53EA0BFA"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135" w:type="dxa"/>
            <w:vMerge/>
          </w:tcPr>
          <w:p w14:paraId="54DA6AB5"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024E82CE" w14:textId="77777777" w:rsidTr="00023145">
        <w:trPr>
          <w:trHeight w:val="763"/>
        </w:trPr>
        <w:tc>
          <w:tcPr>
            <w:tcW w:w="2122" w:type="dxa"/>
            <w:tcBorders>
              <w:bottom w:val="single" w:sz="4" w:space="0" w:color="auto"/>
            </w:tcBorders>
            <w:vAlign w:val="center"/>
          </w:tcPr>
          <w:p w14:paraId="5F6F3018" w14:textId="77777777" w:rsidR="008B5297" w:rsidRPr="00C116D5" w:rsidRDefault="008B5297" w:rsidP="00023145">
            <w:pPr>
              <w:spacing w:after="0" w:line="360" w:lineRule="auto"/>
              <w:rPr>
                <w:rFonts w:ascii="Arial" w:eastAsia="Calibri" w:hAnsi="Arial" w:cs="Arial"/>
                <w:b/>
                <w:lang w:val="en-US"/>
              </w:rPr>
            </w:pPr>
            <w:r w:rsidRPr="003654C8">
              <w:rPr>
                <w:rFonts w:ascii="Arial" w:eastAsia="Calibri" w:hAnsi="Arial" w:cs="Arial"/>
                <w:b/>
                <w:i/>
                <w:lang w:val="en-US"/>
              </w:rPr>
              <w:t>CC</w:t>
            </w:r>
            <w:r w:rsidRPr="00C116D5">
              <w:rPr>
                <w:rFonts w:ascii="Arial" w:eastAsia="Calibri" w:hAnsi="Arial" w:cs="Arial"/>
                <w:b/>
                <w:lang w:val="en-US"/>
              </w:rPr>
              <w:t xml:space="preserve"> </w:t>
            </w:r>
            <w:r w:rsidRPr="00C116D5">
              <w:rPr>
                <w:rFonts w:ascii="Arial" w:eastAsia="Calibri" w:hAnsi="Arial" w:cs="Arial"/>
                <w:lang w:val="en-US"/>
              </w:rPr>
              <w:t>(</w:t>
            </w:r>
            <w:r w:rsidRPr="00C116D5">
              <w:rPr>
                <w:rFonts w:ascii="Arial" w:eastAsia="Calibri" w:hAnsi="Arial" w:cs="Arial"/>
                <w:i/>
                <w:lang w:val="en-US"/>
              </w:rPr>
              <w:t>n</w:t>
            </w:r>
            <w:r w:rsidRPr="00C116D5">
              <w:rPr>
                <w:rFonts w:ascii="Arial" w:eastAsia="Calibri" w:hAnsi="Arial" w:cs="Arial"/>
                <w:lang w:val="en-US"/>
              </w:rPr>
              <w:t>=94)</w:t>
            </w:r>
          </w:p>
        </w:tc>
        <w:tc>
          <w:tcPr>
            <w:tcW w:w="1417" w:type="dxa"/>
            <w:tcBorders>
              <w:bottom w:val="single" w:sz="4" w:space="0" w:color="auto"/>
            </w:tcBorders>
            <w:vAlign w:val="center"/>
          </w:tcPr>
          <w:p w14:paraId="4794EB19"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36 (24.0)</w:t>
            </w:r>
          </w:p>
        </w:tc>
        <w:tc>
          <w:tcPr>
            <w:tcW w:w="1417" w:type="dxa"/>
            <w:tcBorders>
              <w:bottom w:val="single" w:sz="4" w:space="0" w:color="auto"/>
            </w:tcBorders>
            <w:vAlign w:val="center"/>
          </w:tcPr>
          <w:p w14:paraId="370C0AE1"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32 (21.</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3</m:t>
                  </m:r>
                </m:e>
              </m:bar>
            </m:oMath>
            <w:r w:rsidRPr="00C116D5">
              <w:rPr>
                <w:rFonts w:ascii="Arial" w:eastAsia="Calibri" w:hAnsi="Arial" w:cs="Arial"/>
                <w:lang w:val="en-US"/>
              </w:rPr>
              <w:t>)</w:t>
            </w:r>
          </w:p>
        </w:tc>
        <w:tc>
          <w:tcPr>
            <w:tcW w:w="1446" w:type="dxa"/>
            <w:tcBorders>
              <w:bottom w:val="single" w:sz="4" w:space="0" w:color="auto"/>
            </w:tcBorders>
            <w:vAlign w:val="center"/>
          </w:tcPr>
          <w:p w14:paraId="640A29AF"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26 (17.</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3</m:t>
                  </m:r>
                </m:e>
              </m:bar>
            </m:oMath>
            <w:r w:rsidRPr="00C116D5">
              <w:rPr>
                <w:rFonts w:ascii="Arial" w:eastAsia="Calibri" w:hAnsi="Arial" w:cs="Arial"/>
                <w:lang w:val="en-US"/>
              </w:rPr>
              <w:t>)</w:t>
            </w:r>
          </w:p>
        </w:tc>
        <w:tc>
          <w:tcPr>
            <w:tcW w:w="2806" w:type="dxa"/>
            <w:vMerge/>
            <w:tcBorders>
              <w:bottom w:val="single" w:sz="4" w:space="0" w:color="auto"/>
            </w:tcBorders>
            <w:vAlign w:val="center"/>
          </w:tcPr>
          <w:p w14:paraId="74EE1781"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135" w:type="dxa"/>
            <w:vMerge/>
            <w:tcBorders>
              <w:bottom w:val="single" w:sz="4" w:space="0" w:color="auto"/>
            </w:tcBorders>
            <w:vAlign w:val="center"/>
          </w:tcPr>
          <w:p w14:paraId="6D08B682"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707B26FA" w14:textId="77777777" w:rsidTr="00023145">
        <w:tc>
          <w:tcPr>
            <w:tcW w:w="2122" w:type="dxa"/>
            <w:tcBorders>
              <w:bottom w:val="single" w:sz="4" w:space="0" w:color="auto"/>
            </w:tcBorders>
            <w:vAlign w:val="center"/>
          </w:tcPr>
          <w:p w14:paraId="18FCC9C4" w14:textId="77777777" w:rsidR="008B5297" w:rsidRPr="00C116D5" w:rsidRDefault="008B5297" w:rsidP="00023145">
            <w:pPr>
              <w:tabs>
                <w:tab w:val="left" w:pos="510"/>
                <w:tab w:val="center" w:pos="601"/>
              </w:tabs>
              <w:spacing w:after="0" w:line="360" w:lineRule="auto"/>
              <w:rPr>
                <w:rFonts w:ascii="Arial" w:eastAsia="Calibri" w:hAnsi="Arial" w:cs="Arial"/>
                <w:b/>
                <w:lang w:val="en-US"/>
              </w:rPr>
            </w:pPr>
            <w:r w:rsidRPr="00C116D5">
              <w:rPr>
                <w:rFonts w:ascii="Arial" w:eastAsia="Calibri" w:hAnsi="Arial" w:cs="Arial"/>
                <w:b/>
                <w:lang w:val="en-US"/>
              </w:rPr>
              <w:t>A</w:t>
            </w:r>
            <w:r w:rsidRPr="00774B17">
              <w:rPr>
                <w:rFonts w:ascii="Arial" w:eastAsia="Calibri" w:hAnsi="Arial" w:cs="Arial"/>
                <w:b/>
                <w:lang w:val="en-US"/>
              </w:rPr>
              <w:t>ll</w:t>
            </w:r>
            <w:r w:rsidRPr="00C116D5">
              <w:rPr>
                <w:rFonts w:ascii="Arial" w:eastAsia="Calibri" w:hAnsi="Arial" w:cs="Arial"/>
                <w:b/>
                <w:lang w:val="en-US"/>
              </w:rPr>
              <w:t>ele frequency</w:t>
            </w:r>
          </w:p>
        </w:tc>
        <w:tc>
          <w:tcPr>
            <w:tcW w:w="1417" w:type="dxa"/>
            <w:tcBorders>
              <w:bottom w:val="single" w:sz="4" w:space="0" w:color="auto"/>
            </w:tcBorders>
            <w:vAlign w:val="center"/>
          </w:tcPr>
          <w:p w14:paraId="34D52F23"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417" w:type="dxa"/>
            <w:tcBorders>
              <w:bottom w:val="single" w:sz="4" w:space="0" w:color="auto"/>
            </w:tcBorders>
            <w:vAlign w:val="center"/>
          </w:tcPr>
          <w:p w14:paraId="717E0E67" w14:textId="77777777" w:rsidR="008B5297" w:rsidRPr="00C116D5" w:rsidRDefault="008B5297" w:rsidP="00023145">
            <w:pPr>
              <w:spacing w:after="0" w:line="360" w:lineRule="auto"/>
              <w:jc w:val="center"/>
              <w:rPr>
                <w:rFonts w:ascii="Arial" w:eastAsia="Calibri" w:hAnsi="Arial" w:cs="Arial"/>
                <w:lang w:val="en-US"/>
              </w:rPr>
            </w:pPr>
          </w:p>
        </w:tc>
        <w:tc>
          <w:tcPr>
            <w:tcW w:w="1446" w:type="dxa"/>
            <w:tcBorders>
              <w:bottom w:val="single" w:sz="4" w:space="0" w:color="auto"/>
            </w:tcBorders>
            <w:vAlign w:val="center"/>
          </w:tcPr>
          <w:p w14:paraId="0BFB8A92" w14:textId="77777777" w:rsidR="008B5297" w:rsidRPr="00C116D5" w:rsidRDefault="008B5297" w:rsidP="00023145">
            <w:pPr>
              <w:spacing w:after="0" w:line="360" w:lineRule="auto"/>
              <w:jc w:val="center"/>
              <w:rPr>
                <w:rFonts w:ascii="Arial" w:eastAsia="Calibri" w:hAnsi="Arial" w:cs="Arial"/>
                <w:lang w:val="en-US"/>
              </w:rPr>
            </w:pPr>
          </w:p>
        </w:tc>
        <w:tc>
          <w:tcPr>
            <w:tcW w:w="2806" w:type="dxa"/>
            <w:vAlign w:val="center"/>
          </w:tcPr>
          <w:p w14:paraId="4BFFADF9"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135" w:type="dxa"/>
            <w:vAlign w:val="center"/>
          </w:tcPr>
          <w:p w14:paraId="2AC2065F"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30C18E2E" w14:textId="77777777" w:rsidTr="00023145">
        <w:trPr>
          <w:trHeight w:val="529"/>
        </w:trPr>
        <w:tc>
          <w:tcPr>
            <w:tcW w:w="2122" w:type="dxa"/>
            <w:tcBorders>
              <w:bottom w:val="single" w:sz="4" w:space="0" w:color="auto"/>
            </w:tcBorders>
            <w:vAlign w:val="center"/>
          </w:tcPr>
          <w:p w14:paraId="3F933510" w14:textId="77777777" w:rsidR="008B5297" w:rsidRPr="00136D3D" w:rsidRDefault="008B5297" w:rsidP="00023145">
            <w:pPr>
              <w:tabs>
                <w:tab w:val="left" w:pos="510"/>
                <w:tab w:val="center" w:pos="601"/>
              </w:tabs>
              <w:spacing w:after="0" w:line="360" w:lineRule="auto"/>
              <w:rPr>
                <w:rFonts w:ascii="Arial" w:eastAsia="Calibri" w:hAnsi="Arial" w:cs="Arial"/>
                <w:b/>
                <w:i/>
                <w:lang w:val="en-US"/>
              </w:rPr>
            </w:pPr>
            <w:r w:rsidRPr="00136D3D">
              <w:rPr>
                <w:rFonts w:ascii="Arial" w:eastAsia="Calibri" w:hAnsi="Arial" w:cs="Arial"/>
                <w:b/>
                <w:i/>
                <w:lang w:val="en-US"/>
              </w:rPr>
              <w:t>T</w:t>
            </w:r>
            <w:r w:rsidRPr="00136D3D">
              <w:rPr>
                <w:rFonts w:ascii="Arial" w:eastAsia="Calibri" w:hAnsi="Arial" w:cs="Arial"/>
                <w:i/>
                <w:lang w:val="en-US"/>
              </w:rPr>
              <w:t xml:space="preserve"> </w:t>
            </w:r>
          </w:p>
        </w:tc>
        <w:tc>
          <w:tcPr>
            <w:tcW w:w="1417" w:type="dxa"/>
            <w:tcBorders>
              <w:bottom w:val="single" w:sz="4" w:space="0" w:color="auto"/>
            </w:tcBorders>
            <w:vAlign w:val="center"/>
          </w:tcPr>
          <w:p w14:paraId="0D67848D"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0.530</w:t>
            </w:r>
          </w:p>
        </w:tc>
        <w:tc>
          <w:tcPr>
            <w:tcW w:w="1417" w:type="dxa"/>
            <w:tcBorders>
              <w:bottom w:val="single" w:sz="4" w:space="0" w:color="auto"/>
            </w:tcBorders>
            <w:vAlign w:val="center"/>
          </w:tcPr>
          <w:p w14:paraId="5754D19D"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0.603</w:t>
            </w:r>
          </w:p>
        </w:tc>
        <w:tc>
          <w:tcPr>
            <w:tcW w:w="1446" w:type="dxa"/>
            <w:tcBorders>
              <w:bottom w:val="single" w:sz="4" w:space="0" w:color="auto"/>
            </w:tcBorders>
            <w:vAlign w:val="center"/>
          </w:tcPr>
          <w:p w14:paraId="6BFA5D4F"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0.563</w:t>
            </w:r>
          </w:p>
        </w:tc>
        <w:tc>
          <w:tcPr>
            <w:tcW w:w="2806" w:type="dxa"/>
            <w:vMerge w:val="restart"/>
            <w:vAlign w:val="center"/>
          </w:tcPr>
          <w:p w14:paraId="7EDA8167"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1.144</w:t>
            </w:r>
            <w:r w:rsidRPr="00C116D5">
              <w:rPr>
                <w:rFonts w:ascii="Arial" w:eastAsia="Calibri" w:hAnsi="Arial" w:cs="Arial"/>
                <w:color w:val="000000" w:themeColor="text1"/>
                <w:vertAlign w:val="superscript"/>
                <w:lang w:val="en-US"/>
              </w:rPr>
              <w:t>g</w:t>
            </w:r>
            <w:r w:rsidRPr="00C116D5">
              <w:rPr>
                <w:rFonts w:ascii="Arial" w:eastAsia="Calibri" w:hAnsi="Arial" w:cs="Arial"/>
                <w:color w:val="000000" w:themeColor="text1"/>
                <w:lang w:val="en-US"/>
              </w:rPr>
              <w:t xml:space="preserve"> (</w:t>
            </w:r>
            <w:r w:rsidRPr="00C116D5">
              <w:rPr>
                <w:rFonts w:ascii="Arial" w:hAnsi="Arial" w:cs="Arial"/>
                <w:color w:val="000000" w:themeColor="text1"/>
              </w:rPr>
              <w:t>0.829 - 1.578</w:t>
            </w:r>
            <w:r w:rsidRPr="00C116D5">
              <w:rPr>
                <w:rFonts w:ascii="Arial" w:eastAsia="Calibri" w:hAnsi="Arial" w:cs="Arial"/>
                <w:color w:val="000000" w:themeColor="text1"/>
                <w:lang w:val="en-US"/>
              </w:rPr>
              <w:t>)</w:t>
            </w:r>
          </w:p>
          <w:p w14:paraId="1FA3473A"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eastAsia="Calibri" w:hAnsi="Arial" w:cs="Arial"/>
                <w:color w:val="000000" w:themeColor="text1"/>
                <w:lang w:val="en-US"/>
              </w:rPr>
              <w:t>0.848</w:t>
            </w:r>
            <w:r w:rsidRPr="00C116D5">
              <w:rPr>
                <w:rFonts w:ascii="Arial" w:eastAsia="Calibri" w:hAnsi="Arial" w:cs="Arial"/>
                <w:color w:val="000000" w:themeColor="text1"/>
                <w:vertAlign w:val="superscript"/>
                <w:lang w:val="en-US"/>
              </w:rPr>
              <w:t xml:space="preserve"> h </w:t>
            </w:r>
            <w:r w:rsidRPr="00C116D5">
              <w:rPr>
                <w:rFonts w:ascii="Arial" w:eastAsia="Calibri" w:hAnsi="Arial" w:cs="Arial"/>
                <w:color w:val="000000" w:themeColor="text1"/>
                <w:lang w:val="en-US"/>
              </w:rPr>
              <w:t>(</w:t>
            </w:r>
            <w:r w:rsidRPr="00C116D5">
              <w:rPr>
                <w:rFonts w:ascii="Arial" w:hAnsi="Arial" w:cs="Arial"/>
                <w:color w:val="000000" w:themeColor="text1"/>
              </w:rPr>
              <w:t>0.613 - 1.174)</w:t>
            </w:r>
          </w:p>
          <w:p w14:paraId="55F04AD2"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hAnsi="Arial" w:cs="Arial"/>
                <w:color w:val="000000" w:themeColor="text1"/>
              </w:rPr>
              <w:t>1.349</w:t>
            </w:r>
            <w:r w:rsidRPr="00C116D5">
              <w:rPr>
                <w:rFonts w:ascii="Arial" w:hAnsi="Arial" w:cs="Arial"/>
                <w:color w:val="000000" w:themeColor="text1"/>
                <w:vertAlign w:val="superscript"/>
              </w:rPr>
              <w:t>i</w:t>
            </w:r>
            <w:r w:rsidRPr="00C116D5">
              <w:rPr>
                <w:rFonts w:ascii="Arial" w:hAnsi="Arial" w:cs="Arial"/>
                <w:color w:val="000000" w:themeColor="text1"/>
              </w:rPr>
              <w:t xml:space="preserve"> (0.976 - 1.865)</w:t>
            </w:r>
          </w:p>
        </w:tc>
        <w:tc>
          <w:tcPr>
            <w:tcW w:w="1135" w:type="dxa"/>
            <w:vMerge w:val="restart"/>
            <w:vAlign w:val="center"/>
          </w:tcPr>
          <w:p w14:paraId="7E733074"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0.412</w:t>
            </w:r>
            <w:r w:rsidRPr="00C116D5">
              <w:rPr>
                <w:rFonts w:ascii="Arial" w:eastAsia="Calibri" w:hAnsi="Arial" w:cs="Arial"/>
                <w:color w:val="000000" w:themeColor="text1"/>
                <w:vertAlign w:val="superscript"/>
                <w:lang w:val="en-US"/>
              </w:rPr>
              <w:t>g</w:t>
            </w:r>
          </w:p>
          <w:p w14:paraId="2416CE00"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0.320</w:t>
            </w:r>
            <w:r w:rsidRPr="00C116D5">
              <w:rPr>
                <w:rFonts w:ascii="Arial" w:eastAsia="Calibri" w:hAnsi="Arial" w:cs="Arial"/>
                <w:color w:val="000000" w:themeColor="text1"/>
                <w:vertAlign w:val="superscript"/>
                <w:lang w:val="en-US"/>
              </w:rPr>
              <w:t>h</w:t>
            </w:r>
          </w:p>
          <w:p w14:paraId="19E99338"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0.070</w:t>
            </w:r>
            <w:r w:rsidRPr="00C116D5">
              <w:rPr>
                <w:rFonts w:ascii="Arial" w:eastAsia="Calibri" w:hAnsi="Arial" w:cs="Arial"/>
                <w:color w:val="000000" w:themeColor="text1"/>
                <w:vertAlign w:val="superscript"/>
                <w:lang w:val="en-US"/>
              </w:rPr>
              <w:t>i</w:t>
            </w:r>
          </w:p>
        </w:tc>
      </w:tr>
      <w:tr w:rsidR="008B5297" w:rsidRPr="00C116D5" w14:paraId="281295F7" w14:textId="77777777" w:rsidTr="00023145">
        <w:trPr>
          <w:trHeight w:val="410"/>
        </w:trPr>
        <w:tc>
          <w:tcPr>
            <w:tcW w:w="2122" w:type="dxa"/>
            <w:tcBorders>
              <w:bottom w:val="single" w:sz="4" w:space="0" w:color="auto"/>
            </w:tcBorders>
            <w:vAlign w:val="center"/>
          </w:tcPr>
          <w:p w14:paraId="0C785574" w14:textId="77777777" w:rsidR="008B5297" w:rsidRPr="00136D3D" w:rsidRDefault="008B5297" w:rsidP="00023145">
            <w:pPr>
              <w:spacing w:after="0" w:line="360" w:lineRule="auto"/>
              <w:rPr>
                <w:rFonts w:ascii="Arial" w:eastAsia="Calibri" w:hAnsi="Arial" w:cs="Arial"/>
                <w:b/>
                <w:i/>
                <w:lang w:val="en-US"/>
              </w:rPr>
            </w:pPr>
            <w:r w:rsidRPr="00136D3D">
              <w:rPr>
                <w:rFonts w:ascii="Arial" w:eastAsia="Calibri" w:hAnsi="Arial" w:cs="Arial"/>
                <w:b/>
                <w:i/>
                <w:lang w:val="en-US"/>
              </w:rPr>
              <w:t xml:space="preserve">C </w:t>
            </w:r>
          </w:p>
        </w:tc>
        <w:tc>
          <w:tcPr>
            <w:tcW w:w="1417" w:type="dxa"/>
            <w:tcBorders>
              <w:bottom w:val="single" w:sz="4" w:space="0" w:color="auto"/>
            </w:tcBorders>
            <w:vAlign w:val="center"/>
          </w:tcPr>
          <w:p w14:paraId="7F72F557"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0.470</w:t>
            </w:r>
          </w:p>
        </w:tc>
        <w:tc>
          <w:tcPr>
            <w:tcW w:w="1417" w:type="dxa"/>
            <w:tcBorders>
              <w:bottom w:val="single" w:sz="4" w:space="0" w:color="auto"/>
            </w:tcBorders>
            <w:vAlign w:val="center"/>
          </w:tcPr>
          <w:p w14:paraId="783AFF44"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0.397</w:t>
            </w:r>
          </w:p>
        </w:tc>
        <w:tc>
          <w:tcPr>
            <w:tcW w:w="1446" w:type="dxa"/>
            <w:tcBorders>
              <w:bottom w:val="single" w:sz="4" w:space="0" w:color="auto"/>
            </w:tcBorders>
            <w:vAlign w:val="center"/>
          </w:tcPr>
          <w:p w14:paraId="0A5FCCDE"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0.437</w:t>
            </w:r>
          </w:p>
        </w:tc>
        <w:tc>
          <w:tcPr>
            <w:tcW w:w="2806" w:type="dxa"/>
            <w:vMerge/>
            <w:tcBorders>
              <w:bottom w:val="single" w:sz="4" w:space="0" w:color="auto"/>
            </w:tcBorders>
            <w:vAlign w:val="center"/>
          </w:tcPr>
          <w:p w14:paraId="18430930" w14:textId="77777777" w:rsidR="008B5297" w:rsidRPr="00C116D5" w:rsidRDefault="008B5297" w:rsidP="00023145">
            <w:pPr>
              <w:spacing w:after="0" w:line="360" w:lineRule="auto"/>
              <w:jc w:val="center"/>
              <w:rPr>
                <w:rFonts w:ascii="Arial" w:eastAsia="Calibri" w:hAnsi="Arial" w:cs="Arial"/>
                <w:lang w:val="en-US"/>
              </w:rPr>
            </w:pPr>
          </w:p>
        </w:tc>
        <w:tc>
          <w:tcPr>
            <w:tcW w:w="1135" w:type="dxa"/>
            <w:vMerge/>
            <w:tcBorders>
              <w:bottom w:val="single" w:sz="4" w:space="0" w:color="auto"/>
            </w:tcBorders>
            <w:vAlign w:val="center"/>
          </w:tcPr>
          <w:p w14:paraId="5EC4342D" w14:textId="77777777" w:rsidR="008B5297" w:rsidRPr="00C116D5" w:rsidRDefault="008B5297" w:rsidP="00023145">
            <w:pPr>
              <w:spacing w:after="0" w:line="360" w:lineRule="auto"/>
              <w:jc w:val="center"/>
              <w:rPr>
                <w:rFonts w:ascii="Arial" w:eastAsia="Calibri" w:hAnsi="Arial" w:cs="Arial"/>
                <w:lang w:val="en-US"/>
              </w:rPr>
            </w:pPr>
          </w:p>
        </w:tc>
      </w:tr>
      <w:tr w:rsidR="008B5297" w:rsidRPr="00C116D5" w14:paraId="5D13813A" w14:textId="77777777" w:rsidTr="00023145">
        <w:trPr>
          <w:trHeight w:val="616"/>
        </w:trPr>
        <w:tc>
          <w:tcPr>
            <w:tcW w:w="10343" w:type="dxa"/>
            <w:gridSpan w:val="6"/>
            <w:tcBorders>
              <w:top w:val="single" w:sz="4" w:space="0" w:color="auto"/>
              <w:left w:val="nil"/>
              <w:bottom w:val="nil"/>
              <w:right w:val="nil"/>
            </w:tcBorders>
          </w:tcPr>
          <w:p w14:paraId="785B49CF" w14:textId="5ADADD62" w:rsidR="008B5297" w:rsidRPr="00C116D5" w:rsidRDefault="008B5297" w:rsidP="008B5297">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lang w:val="en-US"/>
              </w:rPr>
              <w:t>A</w:t>
            </w:r>
            <w:r w:rsidRPr="00196B89">
              <w:rPr>
                <w:rFonts w:ascii="Arial" w:eastAsia="Calibri" w:hAnsi="Arial" w:cs="Arial"/>
                <w:color w:val="000000" w:themeColor="text1"/>
                <w:sz w:val="20"/>
                <w:szCs w:val="20"/>
                <w:lang w:val="en-US"/>
              </w:rPr>
              <w:t>ll</w:t>
            </w:r>
            <w:r w:rsidRPr="00C116D5">
              <w:rPr>
                <w:rFonts w:ascii="Arial" w:eastAsia="Calibri" w:hAnsi="Arial" w:cs="Arial"/>
                <w:color w:val="000000" w:themeColor="text1"/>
                <w:sz w:val="20"/>
                <w:szCs w:val="20"/>
                <w:lang w:val="en-US"/>
              </w:rPr>
              <w:t xml:space="preserve"> the P values were calculated using the </w:t>
            </w:r>
            <w:r>
              <w:rPr>
                <w:rFonts w:ascii="Arial" w:eastAsia="Calibri" w:hAnsi="Arial" w:cs="Arial"/>
                <w:color w:val="000000" w:themeColor="text1"/>
                <w:sz w:val="20"/>
                <w:szCs w:val="20"/>
                <w:lang w:val="en-US"/>
              </w:rPr>
              <w:t xml:space="preserve">chi-squared test. </w:t>
            </w:r>
            <w:proofErr w:type="spellStart"/>
            <w:r>
              <w:rPr>
                <w:rFonts w:ascii="Arial" w:eastAsia="Calibri" w:hAnsi="Arial" w:cs="Arial"/>
                <w:color w:val="000000" w:themeColor="text1"/>
                <w:sz w:val="20"/>
                <w:szCs w:val="20"/>
                <w:lang w:val="en-US"/>
              </w:rPr>
              <w:t>Bonferroni</w:t>
            </w:r>
            <w:proofErr w:type="spellEnd"/>
            <w:r>
              <w:rPr>
                <w:rFonts w:ascii="Arial" w:eastAsia="Calibri" w:hAnsi="Arial" w:cs="Arial"/>
                <w:color w:val="000000" w:themeColor="text1"/>
                <w:sz w:val="20"/>
                <w:szCs w:val="20"/>
                <w:lang w:val="en-US"/>
              </w:rPr>
              <w:t xml:space="preserve"> corrected significance cut-off value was 0.0083 for genotypes, and 0.017 for allele frequency.</w:t>
            </w:r>
          </w:p>
          <w:p w14:paraId="3875C8F3"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a</w:t>
            </w:r>
            <w:r w:rsidRPr="00C116D5">
              <w:rPr>
                <w:rFonts w:ascii="Arial" w:eastAsia="Calibri" w:hAnsi="Arial" w:cs="Arial"/>
                <w:sz w:val="20"/>
                <w:lang w:val="en-US"/>
              </w:rPr>
              <w:t xml:space="preserve"> PEG vs. Control, </w:t>
            </w:r>
            <w:r w:rsidRPr="003654C8">
              <w:rPr>
                <w:rFonts w:ascii="Arial" w:eastAsia="Calibri" w:hAnsi="Arial" w:cs="Arial"/>
                <w:i/>
                <w:sz w:val="20"/>
                <w:lang w:val="en-US"/>
              </w:rPr>
              <w:t>CC</w:t>
            </w:r>
            <w:r w:rsidRPr="00C116D5">
              <w:rPr>
                <w:rFonts w:ascii="Arial" w:eastAsia="Calibri" w:hAnsi="Arial" w:cs="Arial"/>
                <w:sz w:val="20"/>
                <w:lang w:val="en-US"/>
              </w:rPr>
              <w:t xml:space="preserve"> vs. </w:t>
            </w:r>
            <w:r w:rsidRPr="003654C8">
              <w:rPr>
                <w:rFonts w:ascii="Arial" w:eastAsia="Calibri" w:hAnsi="Arial" w:cs="Arial"/>
                <w:i/>
                <w:sz w:val="20"/>
                <w:lang w:val="en-US"/>
              </w:rPr>
              <w:t>TC</w:t>
            </w:r>
            <w:r w:rsidRPr="00C116D5">
              <w:rPr>
                <w:rFonts w:ascii="Arial" w:eastAsia="Calibri" w:hAnsi="Arial" w:cs="Arial"/>
                <w:sz w:val="20"/>
                <w:lang w:val="en-US"/>
              </w:rPr>
              <w:t>+</w:t>
            </w:r>
            <w:r w:rsidRPr="003654C8">
              <w:rPr>
                <w:rFonts w:ascii="Arial" w:eastAsia="Calibri" w:hAnsi="Arial" w:cs="Arial"/>
                <w:i/>
                <w:sz w:val="20"/>
                <w:lang w:val="en-US"/>
              </w:rPr>
              <w:t>TT</w:t>
            </w:r>
          </w:p>
          <w:p w14:paraId="19AAEE5E"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b</w:t>
            </w:r>
            <w:r w:rsidRPr="00C116D5">
              <w:rPr>
                <w:rFonts w:ascii="Arial" w:eastAsia="Calibri" w:hAnsi="Arial" w:cs="Arial"/>
                <w:sz w:val="20"/>
                <w:lang w:val="en-US"/>
              </w:rPr>
              <w:t xml:space="preserve"> PEX vs. Control, </w:t>
            </w:r>
            <w:r w:rsidRPr="003654C8">
              <w:rPr>
                <w:rFonts w:ascii="Arial" w:eastAsia="Calibri" w:hAnsi="Arial" w:cs="Arial"/>
                <w:i/>
                <w:sz w:val="20"/>
                <w:lang w:val="en-US"/>
              </w:rPr>
              <w:t>CC</w:t>
            </w:r>
            <w:r w:rsidRPr="00C116D5">
              <w:rPr>
                <w:rFonts w:ascii="Arial" w:eastAsia="Calibri" w:hAnsi="Arial" w:cs="Arial"/>
                <w:sz w:val="20"/>
                <w:lang w:val="en-US"/>
              </w:rPr>
              <w:t xml:space="preserve"> vs. </w:t>
            </w:r>
            <w:r w:rsidRPr="003654C8">
              <w:rPr>
                <w:rFonts w:ascii="Arial" w:eastAsia="Calibri" w:hAnsi="Arial" w:cs="Arial"/>
                <w:i/>
                <w:sz w:val="20"/>
                <w:lang w:val="en-US"/>
              </w:rPr>
              <w:t>TC</w:t>
            </w:r>
            <w:r w:rsidRPr="00C116D5">
              <w:rPr>
                <w:rFonts w:ascii="Arial" w:eastAsia="Calibri" w:hAnsi="Arial" w:cs="Arial"/>
                <w:sz w:val="20"/>
                <w:lang w:val="en-US"/>
              </w:rPr>
              <w:t>+</w:t>
            </w:r>
            <w:r w:rsidRPr="003654C8">
              <w:rPr>
                <w:rFonts w:ascii="Arial" w:eastAsia="Calibri" w:hAnsi="Arial" w:cs="Arial"/>
                <w:i/>
                <w:sz w:val="20"/>
                <w:lang w:val="en-US"/>
              </w:rPr>
              <w:t>TT</w:t>
            </w:r>
          </w:p>
          <w:p w14:paraId="4D8748B1"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c</w:t>
            </w:r>
            <w:r w:rsidRPr="00C116D5">
              <w:rPr>
                <w:rFonts w:ascii="Arial" w:eastAsia="Calibri" w:hAnsi="Arial" w:cs="Arial"/>
                <w:sz w:val="20"/>
                <w:lang w:val="en-US"/>
              </w:rPr>
              <w:t xml:space="preserve"> PEG vs. PEX, </w:t>
            </w:r>
            <w:r w:rsidRPr="003654C8">
              <w:rPr>
                <w:rFonts w:ascii="Arial" w:eastAsia="Calibri" w:hAnsi="Arial" w:cs="Arial"/>
                <w:i/>
                <w:sz w:val="20"/>
                <w:lang w:val="en-US"/>
              </w:rPr>
              <w:t>CC</w:t>
            </w:r>
            <w:r w:rsidRPr="00C116D5">
              <w:rPr>
                <w:rFonts w:ascii="Arial" w:eastAsia="Calibri" w:hAnsi="Arial" w:cs="Arial"/>
                <w:sz w:val="20"/>
                <w:lang w:val="en-US"/>
              </w:rPr>
              <w:t xml:space="preserve"> vs. </w:t>
            </w:r>
            <w:r w:rsidRPr="003654C8">
              <w:rPr>
                <w:rFonts w:ascii="Arial" w:eastAsia="Calibri" w:hAnsi="Arial" w:cs="Arial"/>
                <w:i/>
                <w:sz w:val="20"/>
                <w:lang w:val="en-US"/>
              </w:rPr>
              <w:t>TC</w:t>
            </w:r>
            <w:r w:rsidRPr="00C116D5">
              <w:rPr>
                <w:rFonts w:ascii="Arial" w:eastAsia="Calibri" w:hAnsi="Arial" w:cs="Arial"/>
                <w:sz w:val="20"/>
                <w:lang w:val="en-US"/>
              </w:rPr>
              <w:t>+</w:t>
            </w:r>
            <w:r w:rsidRPr="003654C8">
              <w:rPr>
                <w:rFonts w:ascii="Arial" w:eastAsia="Calibri" w:hAnsi="Arial" w:cs="Arial"/>
                <w:i/>
                <w:sz w:val="20"/>
                <w:lang w:val="en-US"/>
              </w:rPr>
              <w:t>TT</w:t>
            </w:r>
          </w:p>
          <w:p w14:paraId="59FC7F26"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d</w:t>
            </w:r>
            <w:r w:rsidRPr="00C116D5">
              <w:rPr>
                <w:rFonts w:ascii="Arial" w:eastAsia="Calibri" w:hAnsi="Arial" w:cs="Arial"/>
                <w:sz w:val="20"/>
                <w:lang w:val="en-US"/>
              </w:rPr>
              <w:t xml:space="preserve"> PEG vs. Control, </w:t>
            </w:r>
            <w:r w:rsidRPr="003654C8">
              <w:rPr>
                <w:rFonts w:ascii="Arial" w:eastAsia="Calibri" w:hAnsi="Arial" w:cs="Arial"/>
                <w:i/>
                <w:sz w:val="20"/>
                <w:lang w:val="en-US"/>
              </w:rPr>
              <w:t>CC</w:t>
            </w:r>
            <w:r w:rsidRPr="00C116D5">
              <w:rPr>
                <w:rFonts w:ascii="Arial" w:eastAsia="Calibri" w:hAnsi="Arial" w:cs="Arial"/>
                <w:sz w:val="20"/>
                <w:lang w:val="en-US"/>
              </w:rPr>
              <w:t>+</w:t>
            </w:r>
            <w:r w:rsidRPr="003654C8">
              <w:rPr>
                <w:rFonts w:ascii="Arial" w:eastAsia="Calibri" w:hAnsi="Arial" w:cs="Arial"/>
                <w:i/>
                <w:sz w:val="20"/>
                <w:lang w:val="en-US"/>
              </w:rPr>
              <w:t>TC</w:t>
            </w:r>
            <w:r w:rsidRPr="00C116D5">
              <w:rPr>
                <w:rFonts w:ascii="Arial" w:eastAsia="Calibri" w:hAnsi="Arial" w:cs="Arial"/>
                <w:sz w:val="20"/>
                <w:lang w:val="en-US"/>
              </w:rPr>
              <w:t xml:space="preserve"> vs. </w:t>
            </w:r>
            <w:r w:rsidRPr="003654C8">
              <w:rPr>
                <w:rFonts w:ascii="Arial" w:eastAsia="Calibri" w:hAnsi="Arial" w:cs="Arial"/>
                <w:i/>
                <w:sz w:val="20"/>
                <w:lang w:val="en-US"/>
              </w:rPr>
              <w:t>TT</w:t>
            </w:r>
          </w:p>
          <w:p w14:paraId="46A6AE45"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e</w:t>
            </w:r>
            <w:r w:rsidRPr="00C116D5">
              <w:rPr>
                <w:rFonts w:ascii="Arial" w:eastAsia="Calibri" w:hAnsi="Arial" w:cs="Arial"/>
                <w:sz w:val="20"/>
                <w:lang w:val="en-US"/>
              </w:rPr>
              <w:t xml:space="preserve"> PEX vs. Control, </w:t>
            </w:r>
            <w:r w:rsidRPr="003654C8">
              <w:rPr>
                <w:rFonts w:ascii="Arial" w:eastAsia="Calibri" w:hAnsi="Arial" w:cs="Arial"/>
                <w:i/>
                <w:sz w:val="20"/>
                <w:lang w:val="en-US"/>
              </w:rPr>
              <w:t>CC</w:t>
            </w:r>
            <w:r w:rsidRPr="00C116D5">
              <w:rPr>
                <w:rFonts w:ascii="Arial" w:eastAsia="Calibri" w:hAnsi="Arial" w:cs="Arial"/>
                <w:sz w:val="20"/>
                <w:lang w:val="en-US"/>
              </w:rPr>
              <w:t>+</w:t>
            </w:r>
            <w:r w:rsidRPr="003654C8">
              <w:rPr>
                <w:rFonts w:ascii="Arial" w:eastAsia="Calibri" w:hAnsi="Arial" w:cs="Arial"/>
                <w:i/>
                <w:sz w:val="20"/>
                <w:lang w:val="en-US"/>
              </w:rPr>
              <w:t>TC</w:t>
            </w:r>
            <w:r w:rsidRPr="00C116D5">
              <w:rPr>
                <w:rFonts w:ascii="Arial" w:eastAsia="Calibri" w:hAnsi="Arial" w:cs="Arial"/>
                <w:sz w:val="20"/>
                <w:lang w:val="en-US"/>
              </w:rPr>
              <w:t xml:space="preserve"> vs. </w:t>
            </w:r>
            <w:r w:rsidRPr="003654C8">
              <w:rPr>
                <w:rFonts w:ascii="Arial" w:eastAsia="Calibri" w:hAnsi="Arial" w:cs="Arial"/>
                <w:i/>
                <w:sz w:val="20"/>
                <w:lang w:val="en-US"/>
              </w:rPr>
              <w:t>TT</w:t>
            </w:r>
          </w:p>
          <w:p w14:paraId="03786244" w14:textId="77777777" w:rsidR="008B5297" w:rsidRPr="00C116D5" w:rsidRDefault="008B5297" w:rsidP="00023145">
            <w:pPr>
              <w:spacing w:after="0" w:line="240" w:lineRule="auto"/>
              <w:rPr>
                <w:rFonts w:ascii="Arial" w:eastAsia="Calibri" w:hAnsi="Arial" w:cs="Arial"/>
                <w:sz w:val="20"/>
                <w:vertAlign w:val="superscript"/>
                <w:lang w:val="en-US"/>
              </w:rPr>
            </w:pPr>
            <w:r w:rsidRPr="00C116D5">
              <w:rPr>
                <w:rFonts w:ascii="Arial" w:eastAsia="Calibri" w:hAnsi="Arial" w:cs="Arial"/>
                <w:sz w:val="20"/>
                <w:vertAlign w:val="superscript"/>
                <w:lang w:val="en-US"/>
              </w:rPr>
              <w:t xml:space="preserve">f </w:t>
            </w:r>
            <w:r w:rsidRPr="00C116D5">
              <w:rPr>
                <w:rFonts w:ascii="Arial" w:eastAsia="Calibri" w:hAnsi="Arial" w:cs="Arial"/>
                <w:sz w:val="20"/>
                <w:lang w:val="en-US"/>
              </w:rPr>
              <w:t xml:space="preserve">PEG vs. PEX, </w:t>
            </w:r>
            <w:r w:rsidRPr="003654C8">
              <w:rPr>
                <w:rFonts w:ascii="Arial" w:eastAsia="Calibri" w:hAnsi="Arial" w:cs="Arial"/>
                <w:i/>
                <w:sz w:val="20"/>
                <w:lang w:val="en-US"/>
              </w:rPr>
              <w:t>CC</w:t>
            </w:r>
            <w:r w:rsidRPr="00C116D5">
              <w:rPr>
                <w:rFonts w:ascii="Arial" w:eastAsia="Calibri" w:hAnsi="Arial" w:cs="Arial"/>
                <w:sz w:val="20"/>
                <w:lang w:val="en-US"/>
              </w:rPr>
              <w:t>+</w:t>
            </w:r>
            <w:r w:rsidRPr="003654C8">
              <w:rPr>
                <w:rFonts w:ascii="Arial" w:eastAsia="Calibri" w:hAnsi="Arial" w:cs="Arial"/>
                <w:i/>
                <w:sz w:val="20"/>
                <w:lang w:val="en-US"/>
              </w:rPr>
              <w:t>TC</w:t>
            </w:r>
            <w:r w:rsidRPr="00C116D5">
              <w:rPr>
                <w:rFonts w:ascii="Arial" w:eastAsia="Calibri" w:hAnsi="Arial" w:cs="Arial"/>
                <w:sz w:val="20"/>
                <w:lang w:val="en-US"/>
              </w:rPr>
              <w:t xml:space="preserve"> vs. </w:t>
            </w:r>
            <w:r w:rsidRPr="003654C8">
              <w:rPr>
                <w:rFonts w:ascii="Arial" w:eastAsia="Calibri" w:hAnsi="Arial" w:cs="Arial"/>
                <w:i/>
                <w:sz w:val="20"/>
                <w:lang w:val="en-US"/>
              </w:rPr>
              <w:t>TT</w:t>
            </w:r>
          </w:p>
          <w:p w14:paraId="3C5E6BF9"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g</w:t>
            </w:r>
            <w:r w:rsidRPr="00C116D5">
              <w:rPr>
                <w:rFonts w:ascii="Arial" w:eastAsia="Calibri" w:hAnsi="Arial" w:cs="Arial"/>
                <w:sz w:val="20"/>
                <w:lang w:val="en-US"/>
              </w:rPr>
              <w:t xml:space="preserve"> PEG vs. Control, </w:t>
            </w:r>
            <w:r w:rsidRPr="007A6879">
              <w:rPr>
                <w:rFonts w:ascii="Arial" w:eastAsia="Calibri" w:hAnsi="Arial" w:cs="Arial"/>
                <w:i/>
                <w:sz w:val="20"/>
                <w:lang w:val="en-US"/>
              </w:rPr>
              <w:t xml:space="preserve">C </w:t>
            </w:r>
            <w:r w:rsidRPr="00C116D5">
              <w:rPr>
                <w:rFonts w:ascii="Arial" w:eastAsia="Calibri" w:hAnsi="Arial" w:cs="Arial"/>
                <w:sz w:val="20"/>
                <w:lang w:val="en-US"/>
              </w:rPr>
              <w:t xml:space="preserve">vs. </w:t>
            </w:r>
            <w:r w:rsidRPr="007A6879">
              <w:rPr>
                <w:rFonts w:ascii="Arial" w:eastAsia="Calibri" w:hAnsi="Arial" w:cs="Arial"/>
                <w:i/>
                <w:sz w:val="20"/>
                <w:lang w:val="en-US"/>
              </w:rPr>
              <w:t>T</w:t>
            </w:r>
          </w:p>
          <w:p w14:paraId="0D60FBD0"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h</w:t>
            </w:r>
            <w:r w:rsidRPr="00C116D5">
              <w:rPr>
                <w:rFonts w:ascii="Arial" w:eastAsia="Calibri" w:hAnsi="Arial" w:cs="Arial"/>
                <w:sz w:val="20"/>
                <w:lang w:val="en-US"/>
              </w:rPr>
              <w:t xml:space="preserve"> PEX vs. Control, </w:t>
            </w:r>
            <w:r w:rsidRPr="007A6879">
              <w:rPr>
                <w:rFonts w:ascii="Arial" w:eastAsia="Calibri" w:hAnsi="Arial" w:cs="Arial"/>
                <w:i/>
                <w:sz w:val="20"/>
                <w:lang w:val="en-US"/>
              </w:rPr>
              <w:t>C</w:t>
            </w:r>
            <w:r w:rsidRPr="00C116D5">
              <w:rPr>
                <w:rFonts w:ascii="Arial" w:eastAsia="Calibri" w:hAnsi="Arial" w:cs="Arial"/>
                <w:sz w:val="20"/>
                <w:lang w:val="en-US"/>
              </w:rPr>
              <w:t xml:space="preserve"> vs. </w:t>
            </w:r>
            <w:r w:rsidRPr="007A6879">
              <w:rPr>
                <w:rFonts w:ascii="Arial" w:eastAsia="Calibri" w:hAnsi="Arial" w:cs="Arial"/>
                <w:i/>
                <w:sz w:val="20"/>
                <w:lang w:val="en-US"/>
              </w:rPr>
              <w:t>T</w:t>
            </w:r>
          </w:p>
          <w:p w14:paraId="5CA9118F" w14:textId="77777777" w:rsidR="008B5297" w:rsidRPr="00C116D5" w:rsidRDefault="008B5297" w:rsidP="00023145">
            <w:pPr>
              <w:spacing w:after="0" w:line="240" w:lineRule="auto"/>
              <w:rPr>
                <w:rFonts w:ascii="Arial" w:eastAsia="Calibri" w:hAnsi="Arial" w:cs="Arial"/>
                <w:b/>
                <w:sz w:val="20"/>
                <w:lang w:val="en-US"/>
              </w:rPr>
            </w:pPr>
            <w:r w:rsidRPr="00C116D5">
              <w:rPr>
                <w:rFonts w:ascii="Arial" w:eastAsia="Calibri" w:hAnsi="Arial" w:cs="Arial"/>
                <w:sz w:val="20"/>
                <w:vertAlign w:val="superscript"/>
                <w:lang w:val="en-US"/>
              </w:rPr>
              <w:t xml:space="preserve">i </w:t>
            </w:r>
            <w:r w:rsidRPr="00C116D5">
              <w:rPr>
                <w:rFonts w:ascii="Arial" w:eastAsia="Calibri" w:hAnsi="Arial" w:cs="Arial"/>
                <w:sz w:val="20"/>
                <w:lang w:val="en-US"/>
              </w:rPr>
              <w:t xml:space="preserve"> PEG vs. PEX, </w:t>
            </w:r>
            <w:r w:rsidRPr="007A6879">
              <w:rPr>
                <w:rFonts w:ascii="Arial" w:eastAsia="Calibri" w:hAnsi="Arial" w:cs="Arial"/>
                <w:i/>
                <w:sz w:val="20"/>
                <w:lang w:val="en-US"/>
              </w:rPr>
              <w:t>C</w:t>
            </w:r>
            <w:r w:rsidRPr="00C116D5">
              <w:rPr>
                <w:rFonts w:ascii="Arial" w:eastAsia="Calibri" w:hAnsi="Arial" w:cs="Arial"/>
                <w:sz w:val="20"/>
                <w:lang w:val="en-US"/>
              </w:rPr>
              <w:t xml:space="preserve"> vs. </w:t>
            </w:r>
            <w:r w:rsidRPr="007A6879">
              <w:rPr>
                <w:rFonts w:ascii="Arial" w:eastAsia="Calibri" w:hAnsi="Arial" w:cs="Arial"/>
                <w:i/>
                <w:sz w:val="20"/>
                <w:lang w:val="en-US"/>
              </w:rPr>
              <w:t>T</w:t>
            </w:r>
          </w:p>
        </w:tc>
      </w:tr>
    </w:tbl>
    <w:p w14:paraId="50516596" w14:textId="77777777" w:rsidR="008B5297" w:rsidRPr="00C116D5" w:rsidRDefault="008B5297" w:rsidP="008B5297">
      <w:pPr>
        <w:rPr>
          <w:rFonts w:ascii="Arial" w:hAnsi="Arial" w:cs="Arial"/>
          <w:b/>
          <w:lang w:val="en-US"/>
        </w:rPr>
      </w:pPr>
    </w:p>
    <w:p w14:paraId="5DB30B53" w14:textId="77777777" w:rsidR="008B5297" w:rsidRPr="00C116D5" w:rsidRDefault="008B5297" w:rsidP="008B5297">
      <w:pPr>
        <w:rPr>
          <w:rFonts w:ascii="Arial" w:hAnsi="Arial" w:cs="Arial"/>
          <w:b/>
          <w:lang w:val="en-US"/>
        </w:rPr>
      </w:pPr>
    </w:p>
    <w:p w14:paraId="2BBF94DE" w14:textId="77777777" w:rsidR="008B5297" w:rsidRPr="00C116D5" w:rsidRDefault="008B5297" w:rsidP="008B5297">
      <w:pPr>
        <w:rPr>
          <w:rFonts w:ascii="Arial" w:hAnsi="Arial" w:cs="Arial"/>
          <w:lang w:val="en-US"/>
        </w:rPr>
      </w:pPr>
      <w:proofErr w:type="gramStart"/>
      <w:r w:rsidRPr="00C116D5">
        <w:rPr>
          <w:rFonts w:ascii="Arial" w:hAnsi="Arial" w:cs="Arial"/>
          <w:b/>
          <w:lang w:val="en-US"/>
        </w:rPr>
        <w:lastRenderedPageBreak/>
        <w:t>Table 3.</w:t>
      </w:r>
      <w:proofErr w:type="gramEnd"/>
      <w:r w:rsidRPr="00C116D5">
        <w:rPr>
          <w:rFonts w:ascii="Arial" w:hAnsi="Arial" w:cs="Arial"/>
          <w:lang w:val="en-US"/>
        </w:rPr>
        <w:t xml:space="preserve"> </w:t>
      </w:r>
      <w:r w:rsidRPr="007A6879">
        <w:rPr>
          <w:rFonts w:ascii="Arial" w:hAnsi="Arial" w:cs="Arial"/>
          <w:i/>
          <w:lang w:val="en-US"/>
        </w:rPr>
        <w:t xml:space="preserve">PON1 </w:t>
      </w:r>
      <w:r w:rsidRPr="003654C8">
        <w:rPr>
          <w:rFonts w:ascii="Arial" w:eastAsia="SimSun" w:hAnsi="Arial" w:cs="Arial"/>
          <w:i/>
          <w:lang w:val="en-US"/>
        </w:rPr>
        <w:t>192Q/R</w:t>
      </w:r>
      <w:r w:rsidRPr="00C116D5">
        <w:rPr>
          <w:rFonts w:ascii="Arial" w:hAnsi="Arial" w:cs="Arial"/>
          <w:lang w:val="en-US"/>
        </w:rPr>
        <w:t xml:space="preserve"> </w:t>
      </w:r>
      <w:r w:rsidRPr="00CF2289">
        <w:rPr>
          <w:rFonts w:ascii="Arial" w:hAnsi="Arial" w:cs="Arial"/>
          <w:color w:val="000000" w:themeColor="text1"/>
          <w:lang w:val="en-US"/>
        </w:rPr>
        <w:t>(</w:t>
      </w:r>
      <w:r w:rsidRPr="00CF2289">
        <w:rPr>
          <w:rFonts w:ascii="Arial" w:hAnsi="Arial" w:cs="Arial"/>
          <w:i/>
          <w:color w:val="000000" w:themeColor="text1"/>
          <w:lang w:val="en-US"/>
        </w:rPr>
        <w:t>rs662</w:t>
      </w:r>
      <w:r w:rsidRPr="00CF2289">
        <w:rPr>
          <w:rFonts w:ascii="Arial" w:hAnsi="Arial" w:cs="Arial"/>
          <w:color w:val="000000" w:themeColor="text1"/>
          <w:lang w:val="en-US"/>
        </w:rPr>
        <w:t xml:space="preserve">) </w:t>
      </w:r>
      <w:r w:rsidRPr="00C116D5">
        <w:rPr>
          <w:rFonts w:ascii="Arial" w:hAnsi="Arial" w:cs="Arial"/>
          <w:lang w:val="en-US"/>
        </w:rPr>
        <w:t>genotype and a</w:t>
      </w:r>
      <w:r w:rsidRPr="007A6879">
        <w:rPr>
          <w:rFonts w:ascii="Arial" w:hAnsi="Arial" w:cs="Arial"/>
          <w:lang w:val="en-US"/>
        </w:rPr>
        <w:t>ll</w:t>
      </w:r>
      <w:r w:rsidRPr="00C116D5">
        <w:rPr>
          <w:rFonts w:ascii="Arial" w:hAnsi="Arial" w:cs="Arial"/>
          <w:lang w:val="en-US"/>
        </w:rPr>
        <w:t xml:space="preserve">ele frequencies of PEG patients, PEX patients and controls </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417"/>
        <w:gridCol w:w="1417"/>
        <w:gridCol w:w="1446"/>
        <w:gridCol w:w="2353"/>
        <w:gridCol w:w="1021"/>
        <w:gridCol w:w="27"/>
      </w:tblGrid>
      <w:tr w:rsidR="008B5297" w:rsidRPr="00C116D5" w14:paraId="67BD8DB3" w14:textId="77777777" w:rsidTr="00023145">
        <w:trPr>
          <w:trHeight w:val="539"/>
        </w:trPr>
        <w:tc>
          <w:tcPr>
            <w:tcW w:w="2122" w:type="dxa"/>
            <w:vAlign w:val="center"/>
          </w:tcPr>
          <w:p w14:paraId="6FBECE7B" w14:textId="77777777" w:rsidR="008B5297" w:rsidRPr="00C116D5" w:rsidRDefault="008B5297" w:rsidP="00023145">
            <w:pPr>
              <w:spacing w:after="0" w:line="360" w:lineRule="auto"/>
              <w:jc w:val="center"/>
              <w:rPr>
                <w:rFonts w:ascii="Arial" w:eastAsia="Calibri" w:hAnsi="Arial" w:cs="Arial"/>
                <w:b/>
                <w:lang w:val="en-US"/>
              </w:rPr>
            </w:pPr>
          </w:p>
        </w:tc>
        <w:tc>
          <w:tcPr>
            <w:tcW w:w="1417" w:type="dxa"/>
            <w:vAlign w:val="center"/>
          </w:tcPr>
          <w:p w14:paraId="0604299E"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PEG</w:t>
            </w:r>
          </w:p>
          <w:p w14:paraId="68BD3949"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w:t>
            </w:r>
            <w:r w:rsidRPr="00C116D5">
              <w:rPr>
                <w:rFonts w:ascii="Arial" w:eastAsia="Calibri" w:hAnsi="Arial" w:cs="Arial"/>
                <w:b/>
                <w:i/>
                <w:color w:val="000000" w:themeColor="text1"/>
                <w:lang w:val="en-US"/>
              </w:rPr>
              <w:t>n</w:t>
            </w:r>
            <w:r w:rsidRPr="00C116D5">
              <w:rPr>
                <w:rFonts w:ascii="Arial" w:eastAsia="Calibri" w:hAnsi="Arial" w:cs="Arial"/>
                <w:b/>
                <w:color w:val="000000" w:themeColor="text1"/>
                <w:lang w:val="en-US"/>
              </w:rPr>
              <w:t>=150)</w:t>
            </w:r>
          </w:p>
        </w:tc>
        <w:tc>
          <w:tcPr>
            <w:tcW w:w="1417" w:type="dxa"/>
            <w:vAlign w:val="center"/>
          </w:tcPr>
          <w:p w14:paraId="3E4B89C6"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PEX</w:t>
            </w:r>
          </w:p>
          <w:p w14:paraId="72F14C1D"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w:t>
            </w:r>
            <w:r w:rsidRPr="00C116D5">
              <w:rPr>
                <w:rFonts w:ascii="Arial" w:eastAsia="Calibri" w:hAnsi="Arial" w:cs="Arial"/>
                <w:b/>
                <w:i/>
                <w:lang w:val="en-US"/>
              </w:rPr>
              <w:t>n</w:t>
            </w:r>
            <w:r w:rsidRPr="00C116D5">
              <w:rPr>
                <w:rFonts w:ascii="Arial" w:eastAsia="Calibri" w:hAnsi="Arial" w:cs="Arial"/>
                <w:b/>
                <w:lang w:val="en-US"/>
              </w:rPr>
              <w:t>=150)</w:t>
            </w:r>
          </w:p>
        </w:tc>
        <w:tc>
          <w:tcPr>
            <w:tcW w:w="1446" w:type="dxa"/>
            <w:vAlign w:val="center"/>
          </w:tcPr>
          <w:p w14:paraId="2E01F6E9"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Control</w:t>
            </w:r>
          </w:p>
          <w:p w14:paraId="1C6A2496"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w:t>
            </w:r>
            <w:r w:rsidRPr="00C116D5">
              <w:rPr>
                <w:rFonts w:ascii="Arial" w:eastAsia="Calibri" w:hAnsi="Arial" w:cs="Arial"/>
                <w:b/>
                <w:i/>
                <w:lang w:val="en-US"/>
              </w:rPr>
              <w:t>n</w:t>
            </w:r>
            <w:r w:rsidRPr="00C116D5">
              <w:rPr>
                <w:rFonts w:ascii="Arial" w:eastAsia="Calibri" w:hAnsi="Arial" w:cs="Arial"/>
                <w:b/>
                <w:lang w:val="en-US"/>
              </w:rPr>
              <w:t>=150)</w:t>
            </w:r>
          </w:p>
        </w:tc>
        <w:tc>
          <w:tcPr>
            <w:tcW w:w="2353" w:type="dxa"/>
            <w:vAlign w:val="center"/>
          </w:tcPr>
          <w:p w14:paraId="2F0A3D19" w14:textId="77777777" w:rsidR="008B5297" w:rsidRPr="00C116D5" w:rsidRDefault="008B5297" w:rsidP="00023145">
            <w:pPr>
              <w:spacing w:after="0" w:line="360" w:lineRule="auto"/>
              <w:jc w:val="center"/>
              <w:rPr>
                <w:rFonts w:ascii="Arial" w:eastAsia="Calibri" w:hAnsi="Arial" w:cs="Arial"/>
                <w:b/>
                <w:lang w:val="en-US"/>
              </w:rPr>
            </w:pPr>
            <w:r w:rsidRPr="00C116D5">
              <w:rPr>
                <w:rFonts w:ascii="Arial" w:eastAsia="Calibri" w:hAnsi="Arial" w:cs="Arial"/>
                <w:b/>
                <w:lang w:val="en-US"/>
              </w:rPr>
              <w:t>OR (95% CI)</w:t>
            </w:r>
          </w:p>
        </w:tc>
        <w:tc>
          <w:tcPr>
            <w:tcW w:w="1048" w:type="dxa"/>
            <w:gridSpan w:val="2"/>
            <w:vAlign w:val="center"/>
          </w:tcPr>
          <w:p w14:paraId="36D6C12C" w14:textId="77777777" w:rsidR="008B5297" w:rsidRPr="00C116D5" w:rsidRDefault="008B5297" w:rsidP="00023145">
            <w:pPr>
              <w:spacing w:after="0" w:line="360" w:lineRule="auto"/>
              <w:jc w:val="center"/>
              <w:rPr>
                <w:rFonts w:ascii="Arial" w:eastAsia="Calibri" w:hAnsi="Arial" w:cs="Arial"/>
                <w:b/>
                <w:i/>
                <w:lang w:val="en-US"/>
              </w:rPr>
            </w:pPr>
            <w:r w:rsidRPr="00C116D5">
              <w:rPr>
                <w:rFonts w:ascii="Arial" w:eastAsia="Calibri" w:hAnsi="Arial" w:cs="Arial"/>
                <w:b/>
                <w:i/>
                <w:lang w:val="en-US"/>
              </w:rPr>
              <w:t>P</w:t>
            </w:r>
          </w:p>
        </w:tc>
      </w:tr>
      <w:tr w:rsidR="008B5297" w:rsidRPr="00C116D5" w14:paraId="3AB2DECF" w14:textId="77777777" w:rsidTr="00023145">
        <w:trPr>
          <w:trHeight w:val="540"/>
        </w:trPr>
        <w:tc>
          <w:tcPr>
            <w:tcW w:w="2122" w:type="dxa"/>
            <w:vAlign w:val="center"/>
          </w:tcPr>
          <w:p w14:paraId="6DF1E843" w14:textId="77777777" w:rsidR="008B5297" w:rsidRPr="00C116D5" w:rsidRDefault="008B5297" w:rsidP="00023145">
            <w:pPr>
              <w:spacing w:after="0" w:line="360" w:lineRule="auto"/>
              <w:rPr>
                <w:rFonts w:ascii="Arial" w:eastAsia="Calibri" w:hAnsi="Arial" w:cs="Arial"/>
                <w:b/>
                <w:lang w:val="en-US"/>
              </w:rPr>
            </w:pPr>
            <w:r w:rsidRPr="00C116D5">
              <w:rPr>
                <w:rFonts w:ascii="Arial" w:eastAsia="Calibri" w:hAnsi="Arial" w:cs="Arial"/>
                <w:b/>
                <w:lang w:val="en-US"/>
              </w:rPr>
              <w:t xml:space="preserve">Genotypes, </w:t>
            </w:r>
            <w:r w:rsidRPr="00C116D5">
              <w:rPr>
                <w:rFonts w:ascii="Arial" w:eastAsia="Calibri" w:hAnsi="Arial" w:cs="Arial"/>
                <w:b/>
                <w:i/>
                <w:lang w:val="en-US"/>
              </w:rPr>
              <w:t>n</w:t>
            </w:r>
            <w:r w:rsidRPr="00C116D5">
              <w:rPr>
                <w:rFonts w:ascii="Arial" w:eastAsia="Calibri" w:hAnsi="Arial" w:cs="Arial"/>
                <w:b/>
                <w:lang w:val="en-US"/>
              </w:rPr>
              <w:t xml:space="preserve"> (%)</w:t>
            </w:r>
          </w:p>
        </w:tc>
        <w:tc>
          <w:tcPr>
            <w:tcW w:w="1417" w:type="dxa"/>
            <w:vAlign w:val="center"/>
          </w:tcPr>
          <w:p w14:paraId="7468432E"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417" w:type="dxa"/>
            <w:vAlign w:val="center"/>
          </w:tcPr>
          <w:p w14:paraId="5EE62AD4" w14:textId="77777777" w:rsidR="008B5297" w:rsidRPr="00C116D5" w:rsidRDefault="008B5297" w:rsidP="00023145">
            <w:pPr>
              <w:spacing w:after="0" w:line="360" w:lineRule="auto"/>
              <w:jc w:val="center"/>
              <w:rPr>
                <w:rFonts w:ascii="Arial" w:eastAsia="Calibri" w:hAnsi="Arial" w:cs="Arial"/>
                <w:lang w:val="en-US"/>
              </w:rPr>
            </w:pPr>
          </w:p>
        </w:tc>
        <w:tc>
          <w:tcPr>
            <w:tcW w:w="1446" w:type="dxa"/>
            <w:vAlign w:val="center"/>
          </w:tcPr>
          <w:p w14:paraId="3F05EF3E" w14:textId="77777777" w:rsidR="008B5297" w:rsidRPr="00C116D5" w:rsidRDefault="008B5297" w:rsidP="00023145">
            <w:pPr>
              <w:spacing w:after="0" w:line="360" w:lineRule="auto"/>
              <w:jc w:val="center"/>
              <w:rPr>
                <w:rFonts w:ascii="Arial" w:eastAsia="Calibri" w:hAnsi="Arial" w:cs="Arial"/>
                <w:lang w:val="en-US"/>
              </w:rPr>
            </w:pPr>
          </w:p>
        </w:tc>
        <w:tc>
          <w:tcPr>
            <w:tcW w:w="2353" w:type="dxa"/>
          </w:tcPr>
          <w:p w14:paraId="61B7EA66" w14:textId="77777777" w:rsidR="008B5297" w:rsidRPr="00C116D5" w:rsidRDefault="008B5297" w:rsidP="00023145">
            <w:pPr>
              <w:spacing w:after="0" w:line="360" w:lineRule="auto"/>
              <w:jc w:val="center"/>
              <w:rPr>
                <w:rFonts w:ascii="Arial" w:eastAsia="Calibri" w:hAnsi="Arial" w:cs="Arial"/>
                <w:lang w:val="en-US"/>
              </w:rPr>
            </w:pPr>
          </w:p>
        </w:tc>
        <w:tc>
          <w:tcPr>
            <w:tcW w:w="1048" w:type="dxa"/>
            <w:gridSpan w:val="2"/>
          </w:tcPr>
          <w:p w14:paraId="67A832D4" w14:textId="77777777" w:rsidR="008B5297" w:rsidRPr="00C116D5" w:rsidRDefault="008B5297" w:rsidP="00023145">
            <w:pPr>
              <w:spacing w:after="0" w:line="360" w:lineRule="auto"/>
              <w:jc w:val="center"/>
              <w:rPr>
                <w:rFonts w:ascii="Arial" w:eastAsia="Calibri" w:hAnsi="Arial" w:cs="Arial"/>
                <w:lang w:val="en-US"/>
              </w:rPr>
            </w:pPr>
          </w:p>
        </w:tc>
      </w:tr>
      <w:tr w:rsidR="008B5297" w:rsidRPr="00C116D5" w14:paraId="52D9762A" w14:textId="77777777" w:rsidTr="00023145">
        <w:trPr>
          <w:trHeight w:val="716"/>
        </w:trPr>
        <w:tc>
          <w:tcPr>
            <w:tcW w:w="2122" w:type="dxa"/>
            <w:vAlign w:val="center"/>
          </w:tcPr>
          <w:p w14:paraId="7B1A8556" w14:textId="77777777" w:rsidR="008B5297" w:rsidRPr="00C116D5" w:rsidRDefault="008B5297" w:rsidP="00023145">
            <w:pPr>
              <w:spacing w:after="0" w:line="360" w:lineRule="auto"/>
              <w:rPr>
                <w:rFonts w:ascii="Arial" w:eastAsia="Calibri" w:hAnsi="Arial" w:cs="Arial"/>
                <w:b/>
                <w:lang w:val="en-US"/>
              </w:rPr>
            </w:pPr>
            <w:r w:rsidRPr="003654C8">
              <w:rPr>
                <w:rFonts w:ascii="Arial" w:eastAsia="Calibri" w:hAnsi="Arial" w:cs="Arial"/>
                <w:b/>
                <w:i/>
                <w:lang w:val="en-US"/>
              </w:rPr>
              <w:t>QQ</w:t>
            </w:r>
            <w:r w:rsidRPr="00C116D5">
              <w:rPr>
                <w:rFonts w:ascii="Arial" w:eastAsia="Calibri" w:hAnsi="Arial" w:cs="Arial"/>
                <w:b/>
                <w:lang w:val="en-US"/>
              </w:rPr>
              <w:t xml:space="preserve"> </w:t>
            </w:r>
            <w:r w:rsidRPr="00C116D5">
              <w:rPr>
                <w:rFonts w:ascii="Arial" w:eastAsia="Calibri" w:hAnsi="Arial" w:cs="Arial"/>
                <w:lang w:val="en-US"/>
              </w:rPr>
              <w:t>(</w:t>
            </w:r>
            <w:r w:rsidRPr="00C116D5">
              <w:rPr>
                <w:rFonts w:ascii="Arial" w:eastAsia="Calibri" w:hAnsi="Arial" w:cs="Arial"/>
                <w:i/>
                <w:lang w:val="en-US"/>
              </w:rPr>
              <w:t>n</w:t>
            </w:r>
            <w:r w:rsidRPr="00C116D5">
              <w:rPr>
                <w:rFonts w:ascii="Arial" w:eastAsia="Calibri" w:hAnsi="Arial" w:cs="Arial"/>
                <w:lang w:val="en-US"/>
              </w:rPr>
              <w:t>=230)</w:t>
            </w:r>
          </w:p>
        </w:tc>
        <w:tc>
          <w:tcPr>
            <w:tcW w:w="1417" w:type="dxa"/>
            <w:vAlign w:val="center"/>
          </w:tcPr>
          <w:p w14:paraId="437A21CA"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84 (56.0)</w:t>
            </w:r>
          </w:p>
        </w:tc>
        <w:tc>
          <w:tcPr>
            <w:tcW w:w="1417" w:type="dxa"/>
            <w:vAlign w:val="center"/>
          </w:tcPr>
          <w:p w14:paraId="3F6F0B70"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77 (51.</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3</m:t>
                  </m:r>
                </m:e>
              </m:bar>
            </m:oMath>
            <w:r w:rsidRPr="00C116D5">
              <w:rPr>
                <w:rFonts w:ascii="Arial" w:eastAsia="Calibri" w:hAnsi="Arial" w:cs="Arial"/>
                <w:lang w:val="en-US"/>
              </w:rPr>
              <w:t>)</w:t>
            </w:r>
          </w:p>
        </w:tc>
        <w:tc>
          <w:tcPr>
            <w:tcW w:w="1446" w:type="dxa"/>
            <w:vAlign w:val="center"/>
          </w:tcPr>
          <w:p w14:paraId="2216A55A"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69 (46.0)</w:t>
            </w:r>
          </w:p>
        </w:tc>
        <w:tc>
          <w:tcPr>
            <w:tcW w:w="2353" w:type="dxa"/>
            <w:vMerge w:val="restart"/>
          </w:tcPr>
          <w:p w14:paraId="59D2231E"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0.894</w:t>
            </w:r>
            <w:r w:rsidRPr="00C116D5">
              <w:rPr>
                <w:rFonts w:ascii="Arial" w:eastAsia="Calibri" w:hAnsi="Arial" w:cs="Arial"/>
                <w:color w:val="000000" w:themeColor="text1"/>
                <w:vertAlign w:val="superscript"/>
                <w:lang w:val="en-US"/>
              </w:rPr>
              <w:t xml:space="preserve">a </w:t>
            </w:r>
            <w:r w:rsidRPr="00C116D5">
              <w:rPr>
                <w:rFonts w:ascii="Arial" w:eastAsia="Calibri" w:hAnsi="Arial" w:cs="Arial"/>
                <w:color w:val="000000" w:themeColor="text1"/>
                <w:lang w:val="en-US"/>
              </w:rPr>
              <w:t>(</w:t>
            </w:r>
            <w:r w:rsidRPr="00C116D5">
              <w:rPr>
                <w:rFonts w:ascii="Arial" w:hAnsi="Arial" w:cs="Arial"/>
                <w:color w:val="000000" w:themeColor="text1"/>
              </w:rPr>
              <w:t>0.352 - 2.266</w:t>
            </w:r>
            <w:r w:rsidRPr="00C116D5">
              <w:rPr>
                <w:rFonts w:ascii="Arial" w:eastAsia="Calibri" w:hAnsi="Arial" w:cs="Arial"/>
                <w:color w:val="000000" w:themeColor="text1"/>
                <w:lang w:val="en-US"/>
              </w:rPr>
              <w:t>)</w:t>
            </w:r>
          </w:p>
          <w:p w14:paraId="6D9A234B"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1.441</w:t>
            </w:r>
            <w:r w:rsidRPr="00C116D5">
              <w:rPr>
                <w:rFonts w:ascii="Arial" w:eastAsia="Calibri" w:hAnsi="Arial" w:cs="Arial"/>
                <w:color w:val="000000" w:themeColor="text1"/>
                <w:vertAlign w:val="superscript"/>
                <w:lang w:val="en-US"/>
              </w:rPr>
              <w:t>b</w:t>
            </w:r>
            <w:r w:rsidRPr="00C116D5">
              <w:rPr>
                <w:rFonts w:ascii="Arial" w:eastAsia="Calibri" w:hAnsi="Arial" w:cs="Arial"/>
                <w:color w:val="000000" w:themeColor="text1"/>
                <w:lang w:val="en-US"/>
              </w:rPr>
              <w:t xml:space="preserve"> (</w:t>
            </w:r>
            <w:r w:rsidRPr="00C116D5">
              <w:rPr>
                <w:rFonts w:ascii="Arial" w:hAnsi="Arial" w:cs="Arial"/>
                <w:color w:val="000000" w:themeColor="text1"/>
              </w:rPr>
              <w:t>0.619 - 3.355</w:t>
            </w:r>
            <w:r w:rsidRPr="00C116D5">
              <w:rPr>
                <w:rFonts w:ascii="Arial" w:eastAsia="Calibri" w:hAnsi="Arial" w:cs="Arial"/>
                <w:color w:val="000000" w:themeColor="text1"/>
                <w:lang w:val="en-US"/>
              </w:rPr>
              <w:t>)</w:t>
            </w:r>
          </w:p>
          <w:p w14:paraId="4D48D594"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0.620</w:t>
            </w:r>
            <w:r w:rsidRPr="00C116D5">
              <w:rPr>
                <w:rFonts w:ascii="Arial" w:eastAsia="Calibri" w:hAnsi="Arial" w:cs="Arial"/>
                <w:color w:val="000000" w:themeColor="text1"/>
                <w:vertAlign w:val="superscript"/>
                <w:lang w:val="en-US"/>
              </w:rPr>
              <w:t xml:space="preserve">c </w:t>
            </w:r>
            <w:r w:rsidRPr="00C116D5">
              <w:rPr>
                <w:rFonts w:ascii="Arial" w:eastAsia="Calibri" w:hAnsi="Arial" w:cs="Arial"/>
                <w:color w:val="000000" w:themeColor="text1"/>
                <w:lang w:val="en-US"/>
              </w:rPr>
              <w:t>(</w:t>
            </w:r>
            <w:r w:rsidRPr="00C116D5">
              <w:rPr>
                <w:rFonts w:ascii="Arial" w:hAnsi="Arial" w:cs="Arial"/>
                <w:color w:val="000000" w:themeColor="text1"/>
              </w:rPr>
              <w:t>0.260 - 1.480</w:t>
            </w:r>
            <w:r w:rsidRPr="00C116D5">
              <w:rPr>
                <w:rFonts w:ascii="Arial" w:eastAsia="Calibri" w:hAnsi="Arial" w:cs="Arial"/>
                <w:color w:val="000000" w:themeColor="text1"/>
                <w:lang w:val="en-US"/>
              </w:rPr>
              <w:t>)</w:t>
            </w:r>
          </w:p>
          <w:p w14:paraId="7E3666CE"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0.669</w:t>
            </w:r>
            <w:r w:rsidRPr="00C116D5">
              <w:rPr>
                <w:rFonts w:ascii="Arial" w:eastAsia="Calibri" w:hAnsi="Arial" w:cs="Arial"/>
                <w:color w:val="000000" w:themeColor="text1"/>
                <w:vertAlign w:val="superscript"/>
                <w:lang w:val="en-US"/>
              </w:rPr>
              <w:t xml:space="preserve">d </w:t>
            </w:r>
            <w:r w:rsidRPr="00C116D5">
              <w:rPr>
                <w:rFonts w:ascii="Arial" w:eastAsia="Calibri" w:hAnsi="Arial" w:cs="Arial"/>
                <w:color w:val="000000" w:themeColor="text1"/>
                <w:lang w:val="en-US"/>
              </w:rPr>
              <w:t>(</w:t>
            </w:r>
            <w:r w:rsidRPr="00C116D5">
              <w:rPr>
                <w:rFonts w:ascii="Arial" w:hAnsi="Arial" w:cs="Arial"/>
                <w:color w:val="000000" w:themeColor="text1"/>
              </w:rPr>
              <w:t>0.425 - 1.055</w:t>
            </w:r>
            <w:r w:rsidRPr="00C116D5">
              <w:rPr>
                <w:rFonts w:ascii="Arial" w:eastAsia="Calibri" w:hAnsi="Arial" w:cs="Arial"/>
                <w:color w:val="000000" w:themeColor="text1"/>
                <w:lang w:val="en-US"/>
              </w:rPr>
              <w:t>)</w:t>
            </w:r>
          </w:p>
          <w:p w14:paraId="0812D717"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0.808</w:t>
            </w:r>
            <w:r w:rsidRPr="00C116D5">
              <w:rPr>
                <w:rFonts w:ascii="Arial" w:eastAsia="Calibri" w:hAnsi="Arial" w:cs="Arial"/>
                <w:color w:val="000000" w:themeColor="text1"/>
                <w:vertAlign w:val="superscript"/>
                <w:lang w:val="en-US"/>
              </w:rPr>
              <w:t>e</w:t>
            </w:r>
            <w:r w:rsidRPr="00C116D5">
              <w:rPr>
                <w:rFonts w:ascii="Arial" w:eastAsia="Calibri" w:hAnsi="Arial" w:cs="Arial"/>
                <w:color w:val="000000" w:themeColor="text1"/>
                <w:lang w:val="en-US"/>
              </w:rPr>
              <w:t xml:space="preserve"> (</w:t>
            </w:r>
            <w:r w:rsidRPr="00C116D5">
              <w:rPr>
                <w:rFonts w:ascii="Arial" w:hAnsi="Arial" w:cs="Arial"/>
                <w:color w:val="000000" w:themeColor="text1"/>
              </w:rPr>
              <w:t>0.513 - 1.271</w:t>
            </w:r>
            <w:r w:rsidRPr="00C116D5">
              <w:rPr>
                <w:rFonts w:ascii="Arial" w:eastAsia="Calibri" w:hAnsi="Arial" w:cs="Arial"/>
                <w:color w:val="000000" w:themeColor="text1"/>
                <w:lang w:val="en-US"/>
              </w:rPr>
              <w:t>)</w:t>
            </w:r>
          </w:p>
          <w:p w14:paraId="55D23059"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eastAsia="Calibri" w:hAnsi="Arial" w:cs="Arial"/>
                <w:color w:val="000000" w:themeColor="text1"/>
                <w:lang w:val="en-US"/>
              </w:rPr>
              <w:t>0.829</w:t>
            </w:r>
            <w:r w:rsidRPr="00C116D5">
              <w:rPr>
                <w:rFonts w:ascii="Arial" w:eastAsia="Calibri" w:hAnsi="Arial" w:cs="Arial"/>
                <w:color w:val="000000" w:themeColor="text1"/>
                <w:vertAlign w:val="superscript"/>
                <w:lang w:val="en-US"/>
              </w:rPr>
              <w:t>f</w:t>
            </w:r>
            <w:r w:rsidRPr="00C116D5">
              <w:rPr>
                <w:rFonts w:ascii="Arial" w:eastAsia="Calibri" w:hAnsi="Arial" w:cs="Arial"/>
                <w:color w:val="000000" w:themeColor="text1"/>
                <w:lang w:val="en-US"/>
              </w:rPr>
              <w:t xml:space="preserve"> (</w:t>
            </w:r>
            <w:r w:rsidRPr="00C116D5">
              <w:rPr>
                <w:rFonts w:ascii="Arial" w:hAnsi="Arial" w:cs="Arial"/>
                <w:color w:val="000000" w:themeColor="text1"/>
              </w:rPr>
              <w:t>0.526 - 1.305)</w:t>
            </w:r>
          </w:p>
        </w:tc>
        <w:tc>
          <w:tcPr>
            <w:tcW w:w="1048" w:type="dxa"/>
            <w:gridSpan w:val="2"/>
            <w:vMerge w:val="restart"/>
          </w:tcPr>
          <w:p w14:paraId="7B959980"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0.813</w:t>
            </w:r>
            <w:r w:rsidRPr="00C116D5">
              <w:rPr>
                <w:rFonts w:ascii="Arial" w:eastAsia="Calibri" w:hAnsi="Arial" w:cs="Arial"/>
                <w:color w:val="000000" w:themeColor="text1"/>
                <w:vertAlign w:val="superscript"/>
                <w:lang w:val="en-US"/>
              </w:rPr>
              <w:t>a</w:t>
            </w:r>
          </w:p>
          <w:p w14:paraId="352EB52B"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0.395</w:t>
            </w:r>
            <w:r w:rsidRPr="00C116D5">
              <w:rPr>
                <w:rFonts w:ascii="Arial" w:eastAsia="Calibri" w:hAnsi="Arial" w:cs="Arial"/>
                <w:color w:val="000000" w:themeColor="text1"/>
                <w:vertAlign w:val="superscript"/>
                <w:lang w:val="en-US"/>
              </w:rPr>
              <w:t>b</w:t>
            </w:r>
          </w:p>
          <w:p w14:paraId="5BE8FB3A"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0.278</w:t>
            </w:r>
            <w:r w:rsidRPr="00C116D5">
              <w:rPr>
                <w:rFonts w:ascii="Arial" w:eastAsia="Calibri" w:hAnsi="Arial" w:cs="Arial"/>
                <w:color w:val="000000" w:themeColor="text1"/>
                <w:vertAlign w:val="superscript"/>
                <w:lang w:val="en-US"/>
              </w:rPr>
              <w:t>c</w:t>
            </w:r>
          </w:p>
          <w:p w14:paraId="13FABA49"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0.083</w:t>
            </w:r>
            <w:r w:rsidRPr="00C116D5">
              <w:rPr>
                <w:rFonts w:ascii="Arial" w:eastAsia="Calibri" w:hAnsi="Arial" w:cs="Arial"/>
                <w:color w:val="000000" w:themeColor="text1"/>
                <w:vertAlign w:val="superscript"/>
                <w:lang w:val="en-US"/>
              </w:rPr>
              <w:t>d</w:t>
            </w:r>
          </w:p>
          <w:p w14:paraId="14C950AC"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0.355</w:t>
            </w:r>
            <w:r w:rsidRPr="00C116D5">
              <w:rPr>
                <w:rFonts w:ascii="Arial" w:eastAsia="Calibri" w:hAnsi="Arial" w:cs="Arial"/>
                <w:color w:val="000000" w:themeColor="text1"/>
                <w:vertAlign w:val="superscript"/>
                <w:lang w:val="en-US"/>
              </w:rPr>
              <w:t>e</w:t>
            </w:r>
          </w:p>
          <w:p w14:paraId="0A289B46"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0.418</w:t>
            </w:r>
            <w:r w:rsidRPr="00C116D5">
              <w:rPr>
                <w:rFonts w:ascii="Arial" w:eastAsia="Calibri" w:hAnsi="Arial" w:cs="Arial"/>
                <w:color w:val="000000" w:themeColor="text1"/>
                <w:vertAlign w:val="superscript"/>
                <w:lang w:val="en-US"/>
              </w:rPr>
              <w:t>f</w:t>
            </w:r>
          </w:p>
        </w:tc>
      </w:tr>
      <w:tr w:rsidR="008B5297" w:rsidRPr="00C116D5" w14:paraId="3A7E04E6" w14:textId="77777777" w:rsidTr="00023145">
        <w:trPr>
          <w:trHeight w:val="635"/>
        </w:trPr>
        <w:tc>
          <w:tcPr>
            <w:tcW w:w="2122" w:type="dxa"/>
            <w:vAlign w:val="center"/>
          </w:tcPr>
          <w:p w14:paraId="7B9709C3" w14:textId="77777777" w:rsidR="008B5297" w:rsidRPr="00C116D5" w:rsidRDefault="008B5297" w:rsidP="00023145">
            <w:pPr>
              <w:spacing w:after="0" w:line="360" w:lineRule="auto"/>
              <w:rPr>
                <w:rFonts w:ascii="Arial" w:eastAsia="Calibri" w:hAnsi="Arial" w:cs="Arial"/>
                <w:b/>
                <w:lang w:val="en-US"/>
              </w:rPr>
            </w:pPr>
            <w:r w:rsidRPr="003654C8">
              <w:rPr>
                <w:rFonts w:ascii="Arial" w:eastAsia="Calibri" w:hAnsi="Arial" w:cs="Arial"/>
                <w:b/>
                <w:i/>
                <w:lang w:val="en-US"/>
              </w:rPr>
              <w:t>QR</w:t>
            </w:r>
            <w:r w:rsidRPr="00C116D5">
              <w:rPr>
                <w:rFonts w:ascii="Arial" w:eastAsia="Calibri" w:hAnsi="Arial" w:cs="Arial"/>
                <w:b/>
                <w:lang w:val="en-US"/>
              </w:rPr>
              <w:t xml:space="preserve"> </w:t>
            </w:r>
            <w:r w:rsidRPr="00C116D5">
              <w:rPr>
                <w:rFonts w:ascii="Arial" w:eastAsia="Calibri" w:hAnsi="Arial" w:cs="Arial"/>
                <w:lang w:val="en-US"/>
              </w:rPr>
              <w:t>(</w:t>
            </w:r>
            <w:r w:rsidRPr="00C116D5">
              <w:rPr>
                <w:rFonts w:ascii="Arial" w:eastAsia="Calibri" w:hAnsi="Arial" w:cs="Arial"/>
                <w:i/>
                <w:lang w:val="en-US"/>
              </w:rPr>
              <w:t>n</w:t>
            </w:r>
            <w:r w:rsidRPr="00C116D5">
              <w:rPr>
                <w:rFonts w:ascii="Arial" w:eastAsia="Calibri" w:hAnsi="Arial" w:cs="Arial"/>
                <w:lang w:val="en-US"/>
              </w:rPr>
              <w:t>=187)</w:t>
            </w:r>
          </w:p>
        </w:tc>
        <w:tc>
          <w:tcPr>
            <w:tcW w:w="1417" w:type="dxa"/>
            <w:vAlign w:val="center"/>
          </w:tcPr>
          <w:p w14:paraId="6C5E7C3E"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57 (38.0)</w:t>
            </w:r>
          </w:p>
        </w:tc>
        <w:tc>
          <w:tcPr>
            <w:tcW w:w="1417" w:type="dxa"/>
            <w:vAlign w:val="center"/>
          </w:tcPr>
          <w:p w14:paraId="7FD140D8"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59 (39.</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3</m:t>
                  </m:r>
                </m:e>
              </m:bar>
            </m:oMath>
            <w:r w:rsidRPr="00C116D5">
              <w:rPr>
                <w:rFonts w:ascii="Arial" w:eastAsia="Calibri" w:hAnsi="Arial" w:cs="Arial"/>
                <w:lang w:val="en-US"/>
              </w:rPr>
              <w:t>)</w:t>
            </w:r>
          </w:p>
        </w:tc>
        <w:tc>
          <w:tcPr>
            <w:tcW w:w="1446" w:type="dxa"/>
            <w:vAlign w:val="center"/>
          </w:tcPr>
          <w:p w14:paraId="19B19515"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71 (47.</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3</m:t>
                  </m:r>
                </m:e>
              </m:bar>
            </m:oMath>
            <w:r w:rsidRPr="00C116D5">
              <w:rPr>
                <w:rFonts w:ascii="Arial" w:eastAsia="Calibri" w:hAnsi="Arial" w:cs="Arial"/>
                <w:lang w:val="en-US"/>
              </w:rPr>
              <w:t>)</w:t>
            </w:r>
          </w:p>
        </w:tc>
        <w:tc>
          <w:tcPr>
            <w:tcW w:w="2353" w:type="dxa"/>
            <w:vMerge/>
            <w:vAlign w:val="center"/>
          </w:tcPr>
          <w:p w14:paraId="4CB10EC9"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Merge/>
          </w:tcPr>
          <w:p w14:paraId="3F910BC9"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3B028F7B" w14:textId="77777777" w:rsidTr="00023145">
        <w:trPr>
          <w:trHeight w:val="415"/>
        </w:trPr>
        <w:tc>
          <w:tcPr>
            <w:tcW w:w="2122" w:type="dxa"/>
            <w:vAlign w:val="center"/>
          </w:tcPr>
          <w:p w14:paraId="0F8EAE18" w14:textId="77777777" w:rsidR="008B5297" w:rsidRPr="00C116D5" w:rsidRDefault="008B5297" w:rsidP="00023145">
            <w:pPr>
              <w:spacing w:after="0" w:line="360" w:lineRule="auto"/>
              <w:rPr>
                <w:rFonts w:ascii="Arial" w:eastAsia="Calibri" w:hAnsi="Arial" w:cs="Arial"/>
                <w:b/>
                <w:lang w:val="en-US"/>
              </w:rPr>
            </w:pPr>
            <w:r w:rsidRPr="003654C8">
              <w:rPr>
                <w:rFonts w:ascii="Arial" w:eastAsia="Calibri" w:hAnsi="Arial" w:cs="Arial"/>
                <w:b/>
                <w:i/>
                <w:lang w:val="en-US"/>
              </w:rPr>
              <w:t>RR</w:t>
            </w:r>
            <w:r w:rsidRPr="00C116D5">
              <w:rPr>
                <w:rFonts w:ascii="Arial" w:eastAsia="Calibri" w:hAnsi="Arial" w:cs="Arial"/>
                <w:b/>
                <w:lang w:val="en-US"/>
              </w:rPr>
              <w:t xml:space="preserve"> </w:t>
            </w:r>
            <w:r w:rsidRPr="00C116D5">
              <w:rPr>
                <w:rFonts w:ascii="Arial" w:eastAsia="Calibri" w:hAnsi="Arial" w:cs="Arial"/>
                <w:lang w:val="en-US"/>
              </w:rPr>
              <w:t>(</w:t>
            </w:r>
            <w:r w:rsidRPr="00C116D5">
              <w:rPr>
                <w:rFonts w:ascii="Arial" w:eastAsia="Calibri" w:hAnsi="Arial" w:cs="Arial"/>
                <w:i/>
                <w:lang w:val="en-US"/>
              </w:rPr>
              <w:t>n</w:t>
            </w:r>
            <w:r w:rsidRPr="00C116D5">
              <w:rPr>
                <w:rFonts w:ascii="Arial" w:eastAsia="Calibri" w:hAnsi="Arial" w:cs="Arial"/>
                <w:lang w:val="en-US"/>
              </w:rPr>
              <w:t>=33)</w:t>
            </w:r>
          </w:p>
        </w:tc>
        <w:tc>
          <w:tcPr>
            <w:tcW w:w="1417" w:type="dxa"/>
            <w:vAlign w:val="center"/>
          </w:tcPr>
          <w:p w14:paraId="6FB98D95"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9 (6.0)</w:t>
            </w:r>
          </w:p>
        </w:tc>
        <w:tc>
          <w:tcPr>
            <w:tcW w:w="1417" w:type="dxa"/>
            <w:vAlign w:val="center"/>
          </w:tcPr>
          <w:p w14:paraId="3C79762E"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14 (9.</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3</m:t>
                  </m:r>
                </m:e>
              </m:bar>
            </m:oMath>
            <w:r w:rsidRPr="00C116D5">
              <w:rPr>
                <w:rFonts w:ascii="Arial" w:eastAsia="Calibri" w:hAnsi="Arial" w:cs="Arial"/>
                <w:lang w:val="en-US"/>
              </w:rPr>
              <w:t>)</w:t>
            </w:r>
          </w:p>
        </w:tc>
        <w:tc>
          <w:tcPr>
            <w:tcW w:w="1446" w:type="dxa"/>
            <w:vAlign w:val="center"/>
          </w:tcPr>
          <w:p w14:paraId="1AB78FAA"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10 (6.</w:t>
            </w:r>
            <m:oMath>
              <m:bar>
                <m:barPr>
                  <m:pos m:val="top"/>
                  <m:ctrlPr>
                    <w:rPr>
                      <w:rFonts w:ascii="Cambria Math" w:eastAsia="Calibri" w:hAnsi="Cambria Math" w:cs="Arial"/>
                      <w:i/>
                      <w:sz w:val="24"/>
                      <w:lang w:val="en-US"/>
                    </w:rPr>
                  </m:ctrlPr>
                </m:barPr>
                <m:e>
                  <m:r>
                    <w:rPr>
                      <w:rFonts w:ascii="Cambria Math" w:eastAsia="Calibri" w:hAnsi="Cambria Math" w:cs="Arial"/>
                      <w:sz w:val="24"/>
                      <w:lang w:val="en-US"/>
                    </w:rPr>
                    <m:t>6</m:t>
                  </m:r>
                </m:e>
              </m:bar>
            </m:oMath>
            <w:r w:rsidRPr="00C116D5">
              <w:rPr>
                <w:rFonts w:ascii="Arial" w:eastAsia="Calibri" w:hAnsi="Arial" w:cs="Arial"/>
                <w:lang w:val="en-US"/>
              </w:rPr>
              <w:t>)</w:t>
            </w:r>
          </w:p>
        </w:tc>
        <w:tc>
          <w:tcPr>
            <w:tcW w:w="2353" w:type="dxa"/>
            <w:vMerge/>
            <w:vAlign w:val="center"/>
          </w:tcPr>
          <w:p w14:paraId="0F0F3524"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Merge/>
            <w:vAlign w:val="center"/>
          </w:tcPr>
          <w:p w14:paraId="55766B63"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6761EC83" w14:textId="77777777" w:rsidTr="00023145">
        <w:trPr>
          <w:trHeight w:val="467"/>
        </w:trPr>
        <w:tc>
          <w:tcPr>
            <w:tcW w:w="2122" w:type="dxa"/>
            <w:tcBorders>
              <w:bottom w:val="single" w:sz="4" w:space="0" w:color="auto"/>
            </w:tcBorders>
            <w:vAlign w:val="center"/>
          </w:tcPr>
          <w:p w14:paraId="6C472557" w14:textId="77777777" w:rsidR="008B5297" w:rsidRPr="00C116D5" w:rsidRDefault="008B5297" w:rsidP="00023145">
            <w:pPr>
              <w:tabs>
                <w:tab w:val="left" w:pos="510"/>
                <w:tab w:val="center" w:pos="601"/>
              </w:tabs>
              <w:spacing w:after="0" w:line="360" w:lineRule="auto"/>
              <w:rPr>
                <w:rFonts w:ascii="Arial" w:eastAsia="Calibri" w:hAnsi="Arial" w:cs="Arial"/>
                <w:b/>
                <w:lang w:val="en-US"/>
              </w:rPr>
            </w:pPr>
            <w:r w:rsidRPr="00C116D5">
              <w:rPr>
                <w:rFonts w:ascii="Arial" w:eastAsia="Calibri" w:hAnsi="Arial" w:cs="Arial"/>
                <w:b/>
                <w:lang w:val="en-US"/>
              </w:rPr>
              <w:t>A</w:t>
            </w:r>
            <w:r w:rsidRPr="007A6879">
              <w:rPr>
                <w:rFonts w:ascii="Arial" w:eastAsia="Calibri" w:hAnsi="Arial" w:cs="Arial"/>
                <w:b/>
                <w:lang w:val="en-US"/>
              </w:rPr>
              <w:t>ll</w:t>
            </w:r>
            <w:r w:rsidRPr="00C116D5">
              <w:rPr>
                <w:rFonts w:ascii="Arial" w:eastAsia="Calibri" w:hAnsi="Arial" w:cs="Arial"/>
                <w:b/>
                <w:lang w:val="en-US"/>
              </w:rPr>
              <w:t>ele frequency</w:t>
            </w:r>
          </w:p>
        </w:tc>
        <w:tc>
          <w:tcPr>
            <w:tcW w:w="1417" w:type="dxa"/>
            <w:tcBorders>
              <w:bottom w:val="single" w:sz="4" w:space="0" w:color="auto"/>
            </w:tcBorders>
            <w:vAlign w:val="center"/>
          </w:tcPr>
          <w:p w14:paraId="00707BA3"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417" w:type="dxa"/>
            <w:tcBorders>
              <w:bottom w:val="single" w:sz="4" w:space="0" w:color="auto"/>
            </w:tcBorders>
            <w:vAlign w:val="center"/>
          </w:tcPr>
          <w:p w14:paraId="7643C798" w14:textId="77777777" w:rsidR="008B5297" w:rsidRPr="00C116D5" w:rsidRDefault="008B5297" w:rsidP="00023145">
            <w:pPr>
              <w:spacing w:after="0" w:line="360" w:lineRule="auto"/>
              <w:jc w:val="center"/>
              <w:rPr>
                <w:rFonts w:ascii="Arial" w:eastAsia="Calibri" w:hAnsi="Arial" w:cs="Arial"/>
                <w:lang w:val="en-US"/>
              </w:rPr>
            </w:pPr>
          </w:p>
        </w:tc>
        <w:tc>
          <w:tcPr>
            <w:tcW w:w="1446" w:type="dxa"/>
            <w:tcBorders>
              <w:bottom w:val="single" w:sz="4" w:space="0" w:color="auto"/>
            </w:tcBorders>
            <w:vAlign w:val="center"/>
          </w:tcPr>
          <w:p w14:paraId="214D18F1" w14:textId="77777777" w:rsidR="008B5297" w:rsidRPr="00C116D5" w:rsidRDefault="008B5297" w:rsidP="00023145">
            <w:pPr>
              <w:spacing w:after="0" w:line="360" w:lineRule="auto"/>
              <w:jc w:val="center"/>
              <w:rPr>
                <w:rFonts w:ascii="Arial" w:eastAsia="Calibri" w:hAnsi="Arial" w:cs="Arial"/>
                <w:lang w:val="en-US"/>
              </w:rPr>
            </w:pPr>
          </w:p>
        </w:tc>
        <w:tc>
          <w:tcPr>
            <w:tcW w:w="2353" w:type="dxa"/>
            <w:vAlign w:val="center"/>
          </w:tcPr>
          <w:p w14:paraId="25C2AB32"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Align w:val="center"/>
          </w:tcPr>
          <w:p w14:paraId="382E683E"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36CC366D" w14:textId="77777777" w:rsidTr="00023145">
        <w:trPr>
          <w:trHeight w:val="467"/>
        </w:trPr>
        <w:tc>
          <w:tcPr>
            <w:tcW w:w="2122" w:type="dxa"/>
            <w:tcBorders>
              <w:bottom w:val="single" w:sz="4" w:space="0" w:color="auto"/>
            </w:tcBorders>
            <w:vAlign w:val="center"/>
          </w:tcPr>
          <w:p w14:paraId="32BB3D33" w14:textId="77777777" w:rsidR="008B5297" w:rsidRPr="007A6879" w:rsidRDefault="008B5297" w:rsidP="00023145">
            <w:pPr>
              <w:tabs>
                <w:tab w:val="left" w:pos="510"/>
                <w:tab w:val="center" w:pos="601"/>
              </w:tabs>
              <w:spacing w:after="0" w:line="360" w:lineRule="auto"/>
              <w:rPr>
                <w:rFonts w:ascii="Arial" w:eastAsia="Calibri" w:hAnsi="Arial" w:cs="Arial"/>
                <w:b/>
                <w:i/>
                <w:lang w:val="en-US"/>
              </w:rPr>
            </w:pPr>
            <w:r w:rsidRPr="007A6879">
              <w:rPr>
                <w:rFonts w:ascii="Arial" w:eastAsia="Calibri" w:hAnsi="Arial" w:cs="Arial"/>
                <w:b/>
                <w:i/>
                <w:lang w:val="en-US"/>
              </w:rPr>
              <w:t xml:space="preserve">Q </w:t>
            </w:r>
            <w:r w:rsidRPr="007A6879">
              <w:rPr>
                <w:rFonts w:ascii="Arial" w:eastAsia="Calibri" w:hAnsi="Arial" w:cs="Arial"/>
                <w:i/>
                <w:lang w:val="en-US"/>
              </w:rPr>
              <w:t xml:space="preserve"> </w:t>
            </w:r>
          </w:p>
        </w:tc>
        <w:tc>
          <w:tcPr>
            <w:tcW w:w="1417" w:type="dxa"/>
            <w:tcBorders>
              <w:bottom w:val="single" w:sz="4" w:space="0" w:color="auto"/>
            </w:tcBorders>
            <w:vAlign w:val="center"/>
          </w:tcPr>
          <w:p w14:paraId="54279EAC"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0.750</w:t>
            </w:r>
          </w:p>
        </w:tc>
        <w:tc>
          <w:tcPr>
            <w:tcW w:w="1417" w:type="dxa"/>
            <w:tcBorders>
              <w:bottom w:val="single" w:sz="4" w:space="0" w:color="auto"/>
            </w:tcBorders>
            <w:vAlign w:val="center"/>
          </w:tcPr>
          <w:p w14:paraId="0EFF21D3"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0.710</w:t>
            </w:r>
          </w:p>
        </w:tc>
        <w:tc>
          <w:tcPr>
            <w:tcW w:w="1446" w:type="dxa"/>
            <w:tcBorders>
              <w:bottom w:val="single" w:sz="4" w:space="0" w:color="auto"/>
            </w:tcBorders>
            <w:vAlign w:val="center"/>
          </w:tcPr>
          <w:p w14:paraId="6CC1605C"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0.697</w:t>
            </w:r>
          </w:p>
        </w:tc>
        <w:tc>
          <w:tcPr>
            <w:tcW w:w="2353" w:type="dxa"/>
            <w:vMerge w:val="restart"/>
            <w:vAlign w:val="center"/>
          </w:tcPr>
          <w:p w14:paraId="519A98EA"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0.766</w:t>
            </w:r>
            <w:r w:rsidRPr="00C116D5">
              <w:rPr>
                <w:rFonts w:ascii="Arial" w:eastAsia="Calibri" w:hAnsi="Arial" w:cs="Arial"/>
                <w:color w:val="000000" w:themeColor="text1"/>
                <w:vertAlign w:val="superscript"/>
                <w:lang w:val="en-US"/>
              </w:rPr>
              <w:t>g</w:t>
            </w:r>
            <w:r w:rsidRPr="00C116D5">
              <w:rPr>
                <w:rFonts w:ascii="Arial" w:eastAsia="Calibri" w:hAnsi="Arial" w:cs="Arial"/>
                <w:color w:val="000000" w:themeColor="text1"/>
                <w:lang w:val="en-US"/>
              </w:rPr>
              <w:t xml:space="preserve"> (</w:t>
            </w:r>
            <w:r w:rsidRPr="00C116D5">
              <w:rPr>
                <w:rFonts w:ascii="Arial" w:hAnsi="Arial" w:cs="Arial"/>
                <w:color w:val="000000" w:themeColor="text1"/>
              </w:rPr>
              <w:t>0.535 - 1.096</w:t>
            </w:r>
            <w:r w:rsidRPr="00C116D5">
              <w:rPr>
                <w:rFonts w:ascii="Arial" w:eastAsia="Calibri" w:hAnsi="Arial" w:cs="Arial"/>
                <w:color w:val="000000" w:themeColor="text1"/>
                <w:lang w:val="en-US"/>
              </w:rPr>
              <w:t>)</w:t>
            </w:r>
          </w:p>
          <w:p w14:paraId="32E92DA3"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0.938</w:t>
            </w:r>
            <w:r w:rsidRPr="00C116D5">
              <w:rPr>
                <w:rFonts w:ascii="Arial" w:eastAsia="Calibri" w:hAnsi="Arial" w:cs="Arial"/>
                <w:color w:val="000000" w:themeColor="text1"/>
                <w:vertAlign w:val="superscript"/>
                <w:lang w:val="en-US"/>
              </w:rPr>
              <w:t>h</w:t>
            </w:r>
            <w:r w:rsidRPr="00C116D5">
              <w:rPr>
                <w:rFonts w:ascii="Arial" w:eastAsia="Calibri" w:hAnsi="Arial" w:cs="Arial"/>
                <w:color w:val="000000" w:themeColor="text1"/>
                <w:lang w:val="en-US"/>
              </w:rPr>
              <w:t xml:space="preserve"> (</w:t>
            </w:r>
            <w:r w:rsidRPr="00C116D5">
              <w:rPr>
                <w:rFonts w:ascii="Arial" w:hAnsi="Arial" w:cs="Arial"/>
                <w:color w:val="000000" w:themeColor="text1"/>
              </w:rPr>
              <w:t>0.661 - 1.332</w:t>
            </w:r>
            <w:r w:rsidRPr="00C116D5">
              <w:rPr>
                <w:rFonts w:ascii="Arial" w:eastAsia="Calibri" w:hAnsi="Arial" w:cs="Arial"/>
                <w:color w:val="000000" w:themeColor="text1"/>
                <w:lang w:val="en-US"/>
              </w:rPr>
              <w:t>)</w:t>
            </w:r>
          </w:p>
          <w:p w14:paraId="36889DE2"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eastAsia="Calibri" w:hAnsi="Arial" w:cs="Arial"/>
                <w:color w:val="000000" w:themeColor="text1"/>
                <w:lang w:val="en-US"/>
              </w:rPr>
              <w:t>0.816</w:t>
            </w:r>
            <w:r w:rsidRPr="00C116D5">
              <w:rPr>
                <w:rFonts w:ascii="Arial" w:eastAsia="Calibri" w:hAnsi="Arial" w:cs="Arial"/>
                <w:color w:val="000000" w:themeColor="text1"/>
                <w:vertAlign w:val="superscript"/>
                <w:lang w:val="en-US"/>
              </w:rPr>
              <w:t>i</w:t>
            </w:r>
            <w:r w:rsidRPr="00C116D5">
              <w:rPr>
                <w:rFonts w:ascii="Arial" w:eastAsia="Calibri" w:hAnsi="Arial" w:cs="Arial"/>
                <w:color w:val="000000" w:themeColor="text1"/>
                <w:lang w:val="en-US"/>
              </w:rPr>
              <w:t xml:space="preserve"> (</w:t>
            </w:r>
            <w:r w:rsidRPr="00C116D5">
              <w:rPr>
                <w:rFonts w:ascii="Arial" w:hAnsi="Arial" w:cs="Arial"/>
                <w:color w:val="000000" w:themeColor="text1"/>
              </w:rPr>
              <w:t>0.569 - 1.171)</w:t>
            </w:r>
          </w:p>
        </w:tc>
        <w:tc>
          <w:tcPr>
            <w:tcW w:w="1048" w:type="dxa"/>
            <w:gridSpan w:val="2"/>
            <w:vMerge w:val="restart"/>
            <w:vAlign w:val="center"/>
          </w:tcPr>
          <w:p w14:paraId="321DAE82"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0.144</w:t>
            </w:r>
            <w:r w:rsidRPr="00C116D5">
              <w:rPr>
                <w:rFonts w:ascii="Arial" w:eastAsia="Calibri" w:hAnsi="Arial" w:cs="Arial"/>
                <w:color w:val="000000" w:themeColor="text1"/>
                <w:vertAlign w:val="superscript"/>
                <w:lang w:val="en-US"/>
              </w:rPr>
              <w:t xml:space="preserve"> g</w:t>
            </w:r>
          </w:p>
          <w:p w14:paraId="37BC8F0A"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0.721</w:t>
            </w:r>
            <w:r w:rsidRPr="00C116D5">
              <w:rPr>
                <w:rFonts w:ascii="Arial" w:eastAsia="Calibri" w:hAnsi="Arial" w:cs="Arial"/>
                <w:color w:val="000000" w:themeColor="text1"/>
                <w:vertAlign w:val="superscript"/>
                <w:lang w:val="en-US"/>
              </w:rPr>
              <w:t>h</w:t>
            </w:r>
          </w:p>
          <w:p w14:paraId="57C835FE"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0.270</w:t>
            </w:r>
            <w:r w:rsidRPr="00C116D5">
              <w:rPr>
                <w:rFonts w:ascii="Arial" w:eastAsia="Calibri" w:hAnsi="Arial" w:cs="Arial"/>
                <w:color w:val="000000" w:themeColor="text1"/>
                <w:vertAlign w:val="superscript"/>
                <w:lang w:val="en-US"/>
              </w:rPr>
              <w:t>i</w:t>
            </w:r>
          </w:p>
        </w:tc>
      </w:tr>
      <w:tr w:rsidR="008B5297" w:rsidRPr="00C116D5" w14:paraId="53BCA92C" w14:textId="77777777" w:rsidTr="00023145">
        <w:trPr>
          <w:trHeight w:val="264"/>
        </w:trPr>
        <w:tc>
          <w:tcPr>
            <w:tcW w:w="2122" w:type="dxa"/>
            <w:tcBorders>
              <w:bottom w:val="single" w:sz="4" w:space="0" w:color="auto"/>
            </w:tcBorders>
            <w:vAlign w:val="center"/>
          </w:tcPr>
          <w:p w14:paraId="5350D5AE" w14:textId="77777777" w:rsidR="008B5297" w:rsidRPr="007A6879" w:rsidRDefault="008B5297" w:rsidP="00023145">
            <w:pPr>
              <w:spacing w:after="0" w:line="360" w:lineRule="auto"/>
              <w:rPr>
                <w:rFonts w:ascii="Arial" w:eastAsia="Calibri" w:hAnsi="Arial" w:cs="Arial"/>
                <w:b/>
                <w:i/>
                <w:lang w:val="en-US"/>
              </w:rPr>
            </w:pPr>
            <w:r w:rsidRPr="007A6879">
              <w:rPr>
                <w:rFonts w:ascii="Arial" w:eastAsia="Calibri" w:hAnsi="Arial" w:cs="Arial"/>
                <w:b/>
                <w:i/>
                <w:lang w:val="en-US"/>
              </w:rPr>
              <w:t xml:space="preserve">R  </w:t>
            </w:r>
          </w:p>
        </w:tc>
        <w:tc>
          <w:tcPr>
            <w:tcW w:w="1417" w:type="dxa"/>
            <w:tcBorders>
              <w:bottom w:val="single" w:sz="4" w:space="0" w:color="auto"/>
            </w:tcBorders>
            <w:vAlign w:val="center"/>
          </w:tcPr>
          <w:p w14:paraId="5F224522"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0.250</w:t>
            </w:r>
          </w:p>
        </w:tc>
        <w:tc>
          <w:tcPr>
            <w:tcW w:w="1417" w:type="dxa"/>
            <w:tcBorders>
              <w:bottom w:val="single" w:sz="4" w:space="0" w:color="auto"/>
            </w:tcBorders>
            <w:vAlign w:val="center"/>
          </w:tcPr>
          <w:p w14:paraId="40C309C9"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0.290</w:t>
            </w:r>
          </w:p>
        </w:tc>
        <w:tc>
          <w:tcPr>
            <w:tcW w:w="1446" w:type="dxa"/>
            <w:tcBorders>
              <w:bottom w:val="single" w:sz="4" w:space="0" w:color="auto"/>
            </w:tcBorders>
            <w:vAlign w:val="center"/>
          </w:tcPr>
          <w:p w14:paraId="155B3518" w14:textId="77777777" w:rsidR="008B5297" w:rsidRPr="00C116D5" w:rsidRDefault="008B5297" w:rsidP="00023145">
            <w:pPr>
              <w:spacing w:after="0" w:line="360" w:lineRule="auto"/>
              <w:jc w:val="center"/>
              <w:rPr>
                <w:rFonts w:ascii="Arial" w:eastAsia="Calibri" w:hAnsi="Arial" w:cs="Arial"/>
                <w:lang w:val="en-US"/>
              </w:rPr>
            </w:pPr>
            <w:r w:rsidRPr="00C116D5">
              <w:rPr>
                <w:rFonts w:ascii="Arial" w:eastAsia="Calibri" w:hAnsi="Arial" w:cs="Arial"/>
                <w:lang w:val="en-US"/>
              </w:rPr>
              <w:t>0.303</w:t>
            </w:r>
          </w:p>
        </w:tc>
        <w:tc>
          <w:tcPr>
            <w:tcW w:w="2353" w:type="dxa"/>
            <w:vMerge/>
            <w:tcBorders>
              <w:bottom w:val="single" w:sz="4" w:space="0" w:color="auto"/>
            </w:tcBorders>
            <w:vAlign w:val="center"/>
          </w:tcPr>
          <w:p w14:paraId="6710A1B9" w14:textId="77777777" w:rsidR="008B5297" w:rsidRPr="00C116D5" w:rsidRDefault="008B5297" w:rsidP="00023145">
            <w:pPr>
              <w:spacing w:after="0" w:line="360" w:lineRule="auto"/>
              <w:jc w:val="center"/>
              <w:rPr>
                <w:rFonts w:ascii="Arial" w:eastAsia="Calibri" w:hAnsi="Arial" w:cs="Arial"/>
                <w:lang w:val="en-US"/>
              </w:rPr>
            </w:pPr>
          </w:p>
        </w:tc>
        <w:tc>
          <w:tcPr>
            <w:tcW w:w="1048" w:type="dxa"/>
            <w:gridSpan w:val="2"/>
            <w:vMerge/>
            <w:tcBorders>
              <w:bottom w:val="single" w:sz="4" w:space="0" w:color="auto"/>
            </w:tcBorders>
            <w:vAlign w:val="center"/>
          </w:tcPr>
          <w:p w14:paraId="04192568" w14:textId="77777777" w:rsidR="008B5297" w:rsidRPr="00C116D5" w:rsidRDefault="008B5297" w:rsidP="00023145">
            <w:pPr>
              <w:spacing w:after="0" w:line="360" w:lineRule="auto"/>
              <w:jc w:val="center"/>
              <w:rPr>
                <w:rFonts w:ascii="Arial" w:eastAsia="Calibri" w:hAnsi="Arial" w:cs="Arial"/>
                <w:lang w:val="en-US"/>
              </w:rPr>
            </w:pPr>
          </w:p>
        </w:tc>
      </w:tr>
      <w:tr w:rsidR="008B5297" w:rsidRPr="00C116D5" w14:paraId="687F188D" w14:textId="77777777" w:rsidTr="00023145">
        <w:trPr>
          <w:gridAfter w:val="1"/>
          <w:wAfter w:w="27" w:type="dxa"/>
          <w:trHeight w:val="616"/>
        </w:trPr>
        <w:tc>
          <w:tcPr>
            <w:tcW w:w="9776" w:type="dxa"/>
            <w:gridSpan w:val="6"/>
            <w:tcBorders>
              <w:top w:val="single" w:sz="4" w:space="0" w:color="auto"/>
              <w:left w:val="nil"/>
              <w:bottom w:val="nil"/>
              <w:right w:val="nil"/>
            </w:tcBorders>
          </w:tcPr>
          <w:p w14:paraId="07B2E523" w14:textId="66B8F6DE"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lang w:val="en-US"/>
              </w:rPr>
              <w:t>A</w:t>
            </w:r>
            <w:r w:rsidRPr="001F288D">
              <w:rPr>
                <w:rFonts w:ascii="Arial" w:eastAsia="Calibri" w:hAnsi="Arial" w:cs="Arial"/>
                <w:color w:val="000000" w:themeColor="text1"/>
                <w:sz w:val="20"/>
                <w:szCs w:val="20"/>
                <w:lang w:val="en-US"/>
              </w:rPr>
              <w:t>ll</w:t>
            </w:r>
            <w:r w:rsidRPr="00C116D5">
              <w:rPr>
                <w:rFonts w:ascii="Arial" w:eastAsia="Calibri" w:hAnsi="Arial" w:cs="Arial"/>
                <w:color w:val="000000" w:themeColor="text1"/>
                <w:sz w:val="20"/>
                <w:szCs w:val="20"/>
                <w:lang w:val="en-US"/>
              </w:rPr>
              <w:t xml:space="preserve"> the P values were calculated using the </w:t>
            </w:r>
            <w:r>
              <w:rPr>
                <w:rFonts w:ascii="Arial" w:eastAsia="Calibri" w:hAnsi="Arial" w:cs="Arial"/>
                <w:color w:val="000000" w:themeColor="text1"/>
                <w:sz w:val="20"/>
                <w:szCs w:val="20"/>
                <w:lang w:val="en-US"/>
              </w:rPr>
              <w:t xml:space="preserve">chi-squared test. </w:t>
            </w:r>
            <w:proofErr w:type="spellStart"/>
            <w:r>
              <w:rPr>
                <w:rFonts w:ascii="Arial" w:eastAsia="Calibri" w:hAnsi="Arial" w:cs="Arial"/>
                <w:color w:val="000000" w:themeColor="text1"/>
                <w:sz w:val="20"/>
                <w:szCs w:val="20"/>
                <w:lang w:val="en-US"/>
              </w:rPr>
              <w:t>Bonferroni</w:t>
            </w:r>
            <w:proofErr w:type="spellEnd"/>
            <w:r>
              <w:rPr>
                <w:rFonts w:ascii="Arial" w:eastAsia="Calibri" w:hAnsi="Arial" w:cs="Arial"/>
                <w:color w:val="000000" w:themeColor="text1"/>
                <w:sz w:val="20"/>
                <w:szCs w:val="20"/>
                <w:lang w:val="en-US"/>
              </w:rPr>
              <w:t xml:space="preserve"> corrected significance cut-off value was 0.0083 for genotypes, and 0.017 for allele frequency.</w:t>
            </w:r>
          </w:p>
          <w:p w14:paraId="750D359F"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a</w:t>
            </w:r>
            <w:r w:rsidRPr="00C116D5">
              <w:rPr>
                <w:rFonts w:ascii="Arial" w:eastAsia="Calibri" w:hAnsi="Arial" w:cs="Arial"/>
                <w:sz w:val="20"/>
                <w:lang w:val="en-US"/>
              </w:rPr>
              <w:t xml:space="preserve"> PEG vs. Control, </w:t>
            </w:r>
            <w:r w:rsidRPr="003654C8">
              <w:rPr>
                <w:rFonts w:ascii="Arial" w:eastAsia="Calibri" w:hAnsi="Arial" w:cs="Arial"/>
                <w:i/>
                <w:sz w:val="20"/>
                <w:lang w:val="en-US"/>
              </w:rPr>
              <w:t>RR</w:t>
            </w:r>
            <w:r w:rsidRPr="00C116D5">
              <w:rPr>
                <w:rFonts w:ascii="Arial" w:eastAsia="Calibri" w:hAnsi="Arial" w:cs="Arial"/>
                <w:sz w:val="20"/>
                <w:lang w:val="en-US"/>
              </w:rPr>
              <w:t xml:space="preserve"> vs. </w:t>
            </w:r>
            <w:r w:rsidRPr="003654C8">
              <w:rPr>
                <w:rFonts w:ascii="Arial" w:eastAsia="Calibri" w:hAnsi="Arial" w:cs="Arial"/>
                <w:i/>
                <w:sz w:val="20"/>
                <w:lang w:val="en-US"/>
              </w:rPr>
              <w:t>QR</w:t>
            </w:r>
            <w:r w:rsidRPr="00C116D5">
              <w:rPr>
                <w:rFonts w:ascii="Arial" w:eastAsia="Calibri" w:hAnsi="Arial" w:cs="Arial"/>
                <w:sz w:val="20"/>
                <w:lang w:val="en-US"/>
              </w:rPr>
              <w:t>+</w:t>
            </w:r>
            <w:r w:rsidRPr="003654C8">
              <w:rPr>
                <w:rFonts w:ascii="Arial" w:eastAsia="Calibri" w:hAnsi="Arial" w:cs="Arial"/>
                <w:i/>
                <w:sz w:val="20"/>
                <w:lang w:val="en-US"/>
              </w:rPr>
              <w:t>QQ</w:t>
            </w:r>
          </w:p>
          <w:p w14:paraId="16CF00A9"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b</w:t>
            </w:r>
            <w:r w:rsidRPr="00C116D5">
              <w:rPr>
                <w:rFonts w:ascii="Arial" w:eastAsia="Calibri" w:hAnsi="Arial" w:cs="Arial"/>
                <w:sz w:val="20"/>
                <w:lang w:val="en-US"/>
              </w:rPr>
              <w:t xml:space="preserve"> PEX vs. Control, </w:t>
            </w:r>
            <w:r w:rsidRPr="003654C8">
              <w:rPr>
                <w:rFonts w:ascii="Arial" w:eastAsia="Calibri" w:hAnsi="Arial" w:cs="Arial"/>
                <w:i/>
                <w:sz w:val="20"/>
                <w:lang w:val="en-US"/>
              </w:rPr>
              <w:t>RR</w:t>
            </w:r>
            <w:r w:rsidRPr="00C116D5">
              <w:rPr>
                <w:rFonts w:ascii="Arial" w:eastAsia="Calibri" w:hAnsi="Arial" w:cs="Arial"/>
                <w:sz w:val="20"/>
                <w:lang w:val="en-US"/>
              </w:rPr>
              <w:t xml:space="preserve"> vs. </w:t>
            </w:r>
            <w:r w:rsidRPr="003654C8">
              <w:rPr>
                <w:rFonts w:ascii="Arial" w:eastAsia="Calibri" w:hAnsi="Arial" w:cs="Arial"/>
                <w:i/>
                <w:sz w:val="20"/>
                <w:lang w:val="en-US"/>
              </w:rPr>
              <w:t>QR</w:t>
            </w:r>
            <w:r w:rsidRPr="00C116D5">
              <w:rPr>
                <w:rFonts w:ascii="Arial" w:eastAsia="Calibri" w:hAnsi="Arial" w:cs="Arial"/>
                <w:sz w:val="20"/>
                <w:lang w:val="en-US"/>
              </w:rPr>
              <w:t>+</w:t>
            </w:r>
            <w:r w:rsidRPr="003654C8">
              <w:rPr>
                <w:rFonts w:ascii="Arial" w:eastAsia="Calibri" w:hAnsi="Arial" w:cs="Arial"/>
                <w:i/>
                <w:sz w:val="20"/>
                <w:lang w:val="en-US"/>
              </w:rPr>
              <w:t>QQ</w:t>
            </w:r>
          </w:p>
          <w:p w14:paraId="1E591C74"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c</w:t>
            </w:r>
            <w:r w:rsidRPr="00C116D5">
              <w:rPr>
                <w:rFonts w:ascii="Arial" w:eastAsia="Calibri" w:hAnsi="Arial" w:cs="Arial"/>
                <w:sz w:val="20"/>
                <w:lang w:val="en-US"/>
              </w:rPr>
              <w:t xml:space="preserve"> PEG vs. PEX, </w:t>
            </w:r>
            <w:r w:rsidRPr="003654C8">
              <w:rPr>
                <w:rFonts w:ascii="Arial" w:eastAsia="Calibri" w:hAnsi="Arial" w:cs="Arial"/>
                <w:i/>
                <w:sz w:val="20"/>
                <w:lang w:val="en-US"/>
              </w:rPr>
              <w:t>RR</w:t>
            </w:r>
            <w:r w:rsidRPr="00C116D5">
              <w:rPr>
                <w:rFonts w:ascii="Arial" w:eastAsia="Calibri" w:hAnsi="Arial" w:cs="Arial"/>
                <w:sz w:val="20"/>
                <w:lang w:val="en-US"/>
              </w:rPr>
              <w:t xml:space="preserve"> vs. </w:t>
            </w:r>
            <w:r w:rsidRPr="003654C8">
              <w:rPr>
                <w:rFonts w:ascii="Arial" w:eastAsia="Calibri" w:hAnsi="Arial" w:cs="Arial"/>
                <w:i/>
                <w:sz w:val="20"/>
                <w:lang w:val="en-US"/>
              </w:rPr>
              <w:t>QR</w:t>
            </w:r>
            <w:r w:rsidRPr="00C116D5">
              <w:rPr>
                <w:rFonts w:ascii="Arial" w:eastAsia="Calibri" w:hAnsi="Arial" w:cs="Arial"/>
                <w:sz w:val="20"/>
                <w:lang w:val="en-US"/>
              </w:rPr>
              <w:t>+</w:t>
            </w:r>
            <w:r w:rsidRPr="003654C8">
              <w:rPr>
                <w:rFonts w:ascii="Arial" w:eastAsia="Calibri" w:hAnsi="Arial" w:cs="Arial"/>
                <w:i/>
                <w:sz w:val="20"/>
                <w:lang w:val="en-US"/>
              </w:rPr>
              <w:t>QQ</w:t>
            </w:r>
          </w:p>
          <w:p w14:paraId="5BA54570"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d</w:t>
            </w:r>
            <w:r w:rsidRPr="00C116D5">
              <w:rPr>
                <w:rFonts w:ascii="Arial" w:eastAsia="Calibri" w:hAnsi="Arial" w:cs="Arial"/>
                <w:sz w:val="20"/>
                <w:lang w:val="en-US"/>
              </w:rPr>
              <w:t xml:space="preserve"> PEG vs. Control, </w:t>
            </w:r>
            <w:r w:rsidRPr="003654C8">
              <w:rPr>
                <w:rFonts w:ascii="Arial" w:eastAsia="Calibri" w:hAnsi="Arial" w:cs="Arial"/>
                <w:i/>
                <w:sz w:val="20"/>
                <w:lang w:val="en-US"/>
              </w:rPr>
              <w:t>RR</w:t>
            </w:r>
            <w:r w:rsidRPr="00C116D5">
              <w:rPr>
                <w:rFonts w:ascii="Arial" w:eastAsia="Calibri" w:hAnsi="Arial" w:cs="Arial"/>
                <w:sz w:val="20"/>
                <w:lang w:val="en-US"/>
              </w:rPr>
              <w:t>+</w:t>
            </w:r>
            <w:r w:rsidRPr="003654C8">
              <w:rPr>
                <w:rFonts w:ascii="Arial" w:eastAsia="Calibri" w:hAnsi="Arial" w:cs="Arial"/>
                <w:i/>
                <w:sz w:val="20"/>
                <w:lang w:val="en-US"/>
              </w:rPr>
              <w:t>QR</w:t>
            </w:r>
            <w:r w:rsidRPr="00C116D5">
              <w:rPr>
                <w:rFonts w:ascii="Arial" w:eastAsia="Calibri" w:hAnsi="Arial" w:cs="Arial"/>
                <w:sz w:val="20"/>
                <w:lang w:val="en-US"/>
              </w:rPr>
              <w:t xml:space="preserve"> vs. </w:t>
            </w:r>
            <w:r w:rsidRPr="003654C8">
              <w:rPr>
                <w:rFonts w:ascii="Arial" w:eastAsia="Calibri" w:hAnsi="Arial" w:cs="Arial"/>
                <w:i/>
                <w:sz w:val="20"/>
                <w:lang w:val="en-US"/>
              </w:rPr>
              <w:t>QQ</w:t>
            </w:r>
          </w:p>
          <w:p w14:paraId="6E65B579"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e</w:t>
            </w:r>
            <w:r w:rsidRPr="00C116D5">
              <w:rPr>
                <w:rFonts w:ascii="Arial" w:eastAsia="Calibri" w:hAnsi="Arial" w:cs="Arial"/>
                <w:sz w:val="20"/>
                <w:lang w:val="en-US"/>
              </w:rPr>
              <w:t xml:space="preserve"> PEX vs. Control, </w:t>
            </w:r>
            <w:r w:rsidRPr="003654C8">
              <w:rPr>
                <w:rFonts w:ascii="Arial" w:eastAsia="Calibri" w:hAnsi="Arial" w:cs="Arial"/>
                <w:i/>
                <w:sz w:val="20"/>
                <w:lang w:val="en-US"/>
              </w:rPr>
              <w:t>RR</w:t>
            </w:r>
            <w:r w:rsidRPr="00C116D5">
              <w:rPr>
                <w:rFonts w:ascii="Arial" w:eastAsia="Calibri" w:hAnsi="Arial" w:cs="Arial"/>
                <w:sz w:val="20"/>
                <w:lang w:val="en-US"/>
              </w:rPr>
              <w:t>+</w:t>
            </w:r>
            <w:r w:rsidRPr="003654C8">
              <w:rPr>
                <w:rFonts w:ascii="Arial" w:eastAsia="Calibri" w:hAnsi="Arial" w:cs="Arial"/>
                <w:i/>
                <w:sz w:val="20"/>
                <w:lang w:val="en-US"/>
              </w:rPr>
              <w:t>QR</w:t>
            </w:r>
            <w:r w:rsidRPr="00C116D5">
              <w:rPr>
                <w:rFonts w:ascii="Arial" w:eastAsia="Calibri" w:hAnsi="Arial" w:cs="Arial"/>
                <w:sz w:val="20"/>
                <w:lang w:val="en-US"/>
              </w:rPr>
              <w:t xml:space="preserve"> vs. </w:t>
            </w:r>
            <w:r w:rsidRPr="003654C8">
              <w:rPr>
                <w:rFonts w:ascii="Arial" w:eastAsia="Calibri" w:hAnsi="Arial" w:cs="Arial"/>
                <w:i/>
                <w:sz w:val="20"/>
                <w:lang w:val="en-US"/>
              </w:rPr>
              <w:t>QQ</w:t>
            </w:r>
          </w:p>
          <w:p w14:paraId="4EEFD05A" w14:textId="77777777" w:rsidR="008B5297" w:rsidRPr="00C116D5" w:rsidRDefault="008B5297" w:rsidP="00023145">
            <w:pPr>
              <w:spacing w:after="0" w:line="240" w:lineRule="auto"/>
              <w:rPr>
                <w:rFonts w:ascii="Arial" w:eastAsia="Calibri" w:hAnsi="Arial" w:cs="Arial"/>
                <w:sz w:val="20"/>
                <w:vertAlign w:val="superscript"/>
                <w:lang w:val="en-US"/>
              </w:rPr>
            </w:pPr>
            <w:r w:rsidRPr="00C116D5">
              <w:rPr>
                <w:rFonts w:ascii="Arial" w:eastAsia="Calibri" w:hAnsi="Arial" w:cs="Arial"/>
                <w:sz w:val="20"/>
                <w:vertAlign w:val="superscript"/>
                <w:lang w:val="en-US"/>
              </w:rPr>
              <w:t xml:space="preserve">f </w:t>
            </w:r>
            <w:r w:rsidRPr="00C116D5">
              <w:rPr>
                <w:rFonts w:ascii="Arial" w:eastAsia="Calibri" w:hAnsi="Arial" w:cs="Arial"/>
                <w:sz w:val="20"/>
                <w:lang w:val="en-US"/>
              </w:rPr>
              <w:t xml:space="preserve">PEG vs. PEX, </w:t>
            </w:r>
            <w:r w:rsidRPr="003654C8">
              <w:rPr>
                <w:rFonts w:ascii="Arial" w:eastAsia="Calibri" w:hAnsi="Arial" w:cs="Arial"/>
                <w:i/>
                <w:sz w:val="20"/>
                <w:lang w:val="en-US"/>
              </w:rPr>
              <w:t>RR</w:t>
            </w:r>
            <w:r w:rsidRPr="00C116D5">
              <w:rPr>
                <w:rFonts w:ascii="Arial" w:eastAsia="Calibri" w:hAnsi="Arial" w:cs="Arial"/>
                <w:sz w:val="20"/>
                <w:lang w:val="en-US"/>
              </w:rPr>
              <w:t>+</w:t>
            </w:r>
            <w:r w:rsidRPr="003654C8">
              <w:rPr>
                <w:rFonts w:ascii="Arial" w:eastAsia="Calibri" w:hAnsi="Arial" w:cs="Arial"/>
                <w:i/>
                <w:sz w:val="20"/>
                <w:lang w:val="en-US"/>
              </w:rPr>
              <w:t>QR</w:t>
            </w:r>
            <w:r w:rsidRPr="00C116D5">
              <w:rPr>
                <w:rFonts w:ascii="Arial" w:eastAsia="Calibri" w:hAnsi="Arial" w:cs="Arial"/>
                <w:sz w:val="20"/>
                <w:lang w:val="en-US"/>
              </w:rPr>
              <w:t xml:space="preserve"> vs. </w:t>
            </w:r>
            <w:r w:rsidRPr="003654C8">
              <w:rPr>
                <w:rFonts w:ascii="Arial" w:eastAsia="Calibri" w:hAnsi="Arial" w:cs="Arial"/>
                <w:i/>
                <w:sz w:val="20"/>
                <w:lang w:val="en-US"/>
              </w:rPr>
              <w:t>QQ</w:t>
            </w:r>
          </w:p>
          <w:p w14:paraId="6118EE07"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g</w:t>
            </w:r>
            <w:r w:rsidRPr="00C116D5">
              <w:rPr>
                <w:rFonts w:ascii="Arial" w:eastAsia="Calibri" w:hAnsi="Arial" w:cs="Arial"/>
                <w:sz w:val="20"/>
                <w:lang w:val="en-US"/>
              </w:rPr>
              <w:t xml:space="preserve"> PEG vs. Control, </w:t>
            </w:r>
            <w:r w:rsidRPr="001F288D">
              <w:rPr>
                <w:rFonts w:ascii="Arial" w:eastAsia="Calibri" w:hAnsi="Arial" w:cs="Arial"/>
                <w:i/>
                <w:sz w:val="20"/>
                <w:lang w:val="en-US"/>
              </w:rPr>
              <w:t>R</w:t>
            </w:r>
            <w:r w:rsidRPr="00C116D5">
              <w:rPr>
                <w:rFonts w:ascii="Arial" w:eastAsia="Calibri" w:hAnsi="Arial" w:cs="Arial"/>
                <w:sz w:val="20"/>
                <w:lang w:val="en-US"/>
              </w:rPr>
              <w:t xml:space="preserve"> vs. </w:t>
            </w:r>
            <w:r w:rsidRPr="001F288D">
              <w:rPr>
                <w:rFonts w:ascii="Arial" w:eastAsia="Calibri" w:hAnsi="Arial" w:cs="Arial"/>
                <w:i/>
                <w:sz w:val="20"/>
                <w:lang w:val="en-US"/>
              </w:rPr>
              <w:t>Q</w:t>
            </w:r>
          </w:p>
          <w:p w14:paraId="14705A83" w14:textId="77777777" w:rsidR="008B5297" w:rsidRPr="00C116D5" w:rsidRDefault="008B5297" w:rsidP="00023145">
            <w:pPr>
              <w:spacing w:after="0" w:line="240" w:lineRule="auto"/>
              <w:rPr>
                <w:rFonts w:ascii="Arial" w:eastAsia="Calibri" w:hAnsi="Arial" w:cs="Arial"/>
                <w:sz w:val="20"/>
                <w:lang w:val="en-US"/>
              </w:rPr>
            </w:pPr>
            <w:r w:rsidRPr="00C116D5">
              <w:rPr>
                <w:rFonts w:ascii="Arial" w:eastAsia="Calibri" w:hAnsi="Arial" w:cs="Arial"/>
                <w:sz w:val="20"/>
                <w:vertAlign w:val="superscript"/>
                <w:lang w:val="en-US"/>
              </w:rPr>
              <w:t>h</w:t>
            </w:r>
            <w:r w:rsidRPr="00C116D5">
              <w:rPr>
                <w:rFonts w:ascii="Arial" w:eastAsia="Calibri" w:hAnsi="Arial" w:cs="Arial"/>
                <w:sz w:val="20"/>
                <w:lang w:val="en-US"/>
              </w:rPr>
              <w:t xml:space="preserve"> PEX vs. Control, </w:t>
            </w:r>
            <w:r w:rsidRPr="001F288D">
              <w:rPr>
                <w:rFonts w:ascii="Arial" w:eastAsia="Calibri" w:hAnsi="Arial" w:cs="Arial"/>
                <w:i/>
                <w:sz w:val="20"/>
                <w:lang w:val="en-US"/>
              </w:rPr>
              <w:t>R</w:t>
            </w:r>
            <w:r w:rsidRPr="00C116D5">
              <w:rPr>
                <w:rFonts w:ascii="Arial" w:eastAsia="Calibri" w:hAnsi="Arial" w:cs="Arial"/>
                <w:sz w:val="20"/>
                <w:lang w:val="en-US"/>
              </w:rPr>
              <w:t xml:space="preserve"> vs. </w:t>
            </w:r>
            <w:r w:rsidRPr="001F288D">
              <w:rPr>
                <w:rFonts w:ascii="Arial" w:eastAsia="Calibri" w:hAnsi="Arial" w:cs="Arial"/>
                <w:i/>
                <w:sz w:val="20"/>
                <w:lang w:val="en-US"/>
              </w:rPr>
              <w:t>Q</w:t>
            </w:r>
          </w:p>
          <w:p w14:paraId="354D1082" w14:textId="77777777" w:rsidR="008B5297" w:rsidRPr="00C116D5" w:rsidRDefault="008B5297" w:rsidP="00023145">
            <w:pPr>
              <w:spacing w:after="0" w:line="240" w:lineRule="auto"/>
              <w:rPr>
                <w:rFonts w:ascii="Arial" w:eastAsia="Calibri" w:hAnsi="Arial" w:cs="Arial"/>
                <w:b/>
                <w:sz w:val="20"/>
                <w:lang w:val="en-US"/>
              </w:rPr>
            </w:pPr>
            <w:r w:rsidRPr="00C116D5">
              <w:rPr>
                <w:rFonts w:ascii="Arial" w:eastAsia="Calibri" w:hAnsi="Arial" w:cs="Arial"/>
                <w:sz w:val="20"/>
                <w:vertAlign w:val="superscript"/>
                <w:lang w:val="en-US"/>
              </w:rPr>
              <w:t xml:space="preserve">i </w:t>
            </w:r>
            <w:r w:rsidRPr="00C116D5">
              <w:rPr>
                <w:rFonts w:ascii="Arial" w:eastAsia="Calibri" w:hAnsi="Arial" w:cs="Arial"/>
                <w:sz w:val="20"/>
                <w:lang w:val="en-US"/>
              </w:rPr>
              <w:t xml:space="preserve"> PEG vs. PEX, </w:t>
            </w:r>
            <w:r w:rsidRPr="001F288D">
              <w:rPr>
                <w:rFonts w:ascii="Arial" w:eastAsia="Calibri" w:hAnsi="Arial" w:cs="Arial"/>
                <w:i/>
                <w:sz w:val="20"/>
                <w:lang w:val="en-US"/>
              </w:rPr>
              <w:t>R</w:t>
            </w:r>
            <w:r w:rsidRPr="00C116D5">
              <w:rPr>
                <w:rFonts w:ascii="Arial" w:eastAsia="Calibri" w:hAnsi="Arial" w:cs="Arial"/>
                <w:sz w:val="20"/>
                <w:lang w:val="en-US"/>
              </w:rPr>
              <w:t xml:space="preserve"> vs. </w:t>
            </w:r>
            <w:r w:rsidRPr="001F288D">
              <w:rPr>
                <w:rFonts w:ascii="Arial" w:eastAsia="Calibri" w:hAnsi="Arial" w:cs="Arial"/>
                <w:i/>
                <w:sz w:val="20"/>
                <w:lang w:val="en-US"/>
              </w:rPr>
              <w:t>Q</w:t>
            </w:r>
          </w:p>
        </w:tc>
      </w:tr>
    </w:tbl>
    <w:p w14:paraId="6EDDC471" w14:textId="77777777" w:rsidR="008B5297" w:rsidRDefault="008B5297" w:rsidP="008B5297">
      <w:pPr>
        <w:spacing w:line="360" w:lineRule="auto"/>
        <w:rPr>
          <w:rFonts w:ascii="Arial" w:hAnsi="Arial" w:cs="Arial"/>
          <w:lang w:val="en-US"/>
        </w:rPr>
      </w:pPr>
    </w:p>
    <w:p w14:paraId="4CC6207B" w14:textId="77777777" w:rsidR="008B5297" w:rsidRPr="00C116D5" w:rsidRDefault="008B5297" w:rsidP="008B5297">
      <w:pPr>
        <w:spacing w:line="360" w:lineRule="auto"/>
        <w:rPr>
          <w:rFonts w:ascii="Arial" w:hAnsi="Arial" w:cs="Arial"/>
          <w:lang w:val="en-US"/>
        </w:rPr>
      </w:pPr>
    </w:p>
    <w:p w14:paraId="67D8EB38" w14:textId="77777777" w:rsidR="008B5297" w:rsidRPr="00C116D5" w:rsidRDefault="008B5297" w:rsidP="008B5297">
      <w:pPr>
        <w:rPr>
          <w:rFonts w:ascii="Arial" w:hAnsi="Arial" w:cs="Arial"/>
          <w:lang w:val="en-US"/>
        </w:rPr>
      </w:pPr>
      <w:proofErr w:type="gramStart"/>
      <w:r w:rsidRPr="00C116D5">
        <w:rPr>
          <w:rFonts w:ascii="Arial" w:hAnsi="Arial" w:cs="Arial"/>
          <w:b/>
          <w:lang w:val="en-US"/>
        </w:rPr>
        <w:lastRenderedPageBreak/>
        <w:t>Table 4.</w:t>
      </w:r>
      <w:proofErr w:type="gramEnd"/>
      <w:r w:rsidRPr="00C116D5">
        <w:rPr>
          <w:rFonts w:ascii="Arial" w:hAnsi="Arial" w:cs="Arial"/>
          <w:lang w:val="en-US"/>
        </w:rPr>
        <w:t xml:space="preserve"> </w:t>
      </w:r>
      <w:r w:rsidRPr="001F288D">
        <w:rPr>
          <w:rFonts w:ascii="Arial" w:hAnsi="Arial" w:cs="Arial"/>
          <w:i/>
          <w:lang w:val="en-US"/>
        </w:rPr>
        <w:t>PON1</w:t>
      </w:r>
      <w:r w:rsidRPr="00C116D5">
        <w:rPr>
          <w:rFonts w:ascii="Arial" w:hAnsi="Arial" w:cs="Arial"/>
          <w:lang w:val="en-US"/>
        </w:rPr>
        <w:t xml:space="preserve"> </w:t>
      </w:r>
      <w:r w:rsidRPr="003654C8">
        <w:rPr>
          <w:rFonts w:ascii="Arial" w:hAnsi="Arial" w:cs="Arial"/>
          <w:i/>
          <w:lang w:val="en-US"/>
        </w:rPr>
        <w:t>55L/M</w:t>
      </w:r>
      <w:r w:rsidRPr="00C116D5">
        <w:rPr>
          <w:rFonts w:ascii="Arial" w:hAnsi="Arial" w:cs="Arial"/>
          <w:lang w:val="en-US"/>
        </w:rPr>
        <w:t xml:space="preserve"> </w:t>
      </w:r>
      <w:r w:rsidRPr="00CF2289">
        <w:rPr>
          <w:rFonts w:ascii="Arial" w:hAnsi="Arial" w:cs="Arial"/>
          <w:color w:val="000000" w:themeColor="text1"/>
          <w:lang w:val="en-US"/>
        </w:rPr>
        <w:t>(</w:t>
      </w:r>
      <w:r w:rsidRPr="00CF2289">
        <w:rPr>
          <w:rFonts w:ascii="Arial" w:hAnsi="Arial" w:cs="Arial"/>
          <w:i/>
          <w:color w:val="000000" w:themeColor="text1"/>
          <w:lang w:val="en-US"/>
        </w:rPr>
        <w:t>rs854560</w:t>
      </w:r>
      <w:r w:rsidRPr="00CF2289">
        <w:rPr>
          <w:rFonts w:ascii="Arial" w:hAnsi="Arial" w:cs="Arial"/>
          <w:color w:val="000000" w:themeColor="text1"/>
          <w:lang w:val="en-US"/>
        </w:rPr>
        <w:t xml:space="preserve">) </w:t>
      </w:r>
      <w:r w:rsidRPr="00C116D5">
        <w:rPr>
          <w:rFonts w:ascii="Arial" w:hAnsi="Arial" w:cs="Arial"/>
          <w:lang w:val="en-US"/>
        </w:rPr>
        <w:t>genotype and a</w:t>
      </w:r>
      <w:r w:rsidRPr="001F288D">
        <w:rPr>
          <w:rFonts w:ascii="Arial" w:hAnsi="Arial" w:cs="Arial"/>
          <w:lang w:val="en-US"/>
        </w:rPr>
        <w:t>ll</w:t>
      </w:r>
      <w:r w:rsidRPr="00C116D5">
        <w:rPr>
          <w:rFonts w:ascii="Arial" w:hAnsi="Arial" w:cs="Arial"/>
          <w:lang w:val="en-US"/>
        </w:rPr>
        <w:t xml:space="preserve">ele frequencies of PEG patients, PEX patients and controls </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417"/>
        <w:gridCol w:w="1446"/>
        <w:gridCol w:w="1673"/>
        <w:gridCol w:w="2523"/>
        <w:gridCol w:w="967"/>
        <w:gridCol w:w="81"/>
      </w:tblGrid>
      <w:tr w:rsidR="008B5297" w:rsidRPr="00C116D5" w14:paraId="121F6900" w14:textId="77777777" w:rsidTr="00023145">
        <w:trPr>
          <w:trHeight w:val="539"/>
        </w:trPr>
        <w:tc>
          <w:tcPr>
            <w:tcW w:w="2122" w:type="dxa"/>
            <w:vAlign w:val="center"/>
          </w:tcPr>
          <w:p w14:paraId="07C4A9B3" w14:textId="77777777" w:rsidR="008B5297" w:rsidRPr="00C116D5" w:rsidRDefault="008B5297" w:rsidP="00023145">
            <w:pPr>
              <w:spacing w:after="0" w:line="360" w:lineRule="auto"/>
              <w:jc w:val="center"/>
              <w:rPr>
                <w:rFonts w:ascii="Arial" w:eastAsia="Calibri" w:hAnsi="Arial" w:cs="Arial"/>
                <w:b/>
                <w:color w:val="000000" w:themeColor="text1"/>
                <w:lang w:val="en-US"/>
              </w:rPr>
            </w:pPr>
          </w:p>
        </w:tc>
        <w:tc>
          <w:tcPr>
            <w:tcW w:w="1417" w:type="dxa"/>
            <w:vAlign w:val="center"/>
          </w:tcPr>
          <w:p w14:paraId="1EAEF027"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PEG</w:t>
            </w:r>
          </w:p>
          <w:p w14:paraId="383FBD85"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w:t>
            </w:r>
            <w:r w:rsidRPr="00C116D5">
              <w:rPr>
                <w:rFonts w:ascii="Arial" w:eastAsia="Calibri" w:hAnsi="Arial" w:cs="Arial"/>
                <w:b/>
                <w:i/>
                <w:color w:val="000000" w:themeColor="text1"/>
                <w:lang w:val="en-US"/>
              </w:rPr>
              <w:t>n</w:t>
            </w:r>
            <w:r w:rsidRPr="00C116D5">
              <w:rPr>
                <w:rFonts w:ascii="Arial" w:eastAsia="Calibri" w:hAnsi="Arial" w:cs="Arial"/>
                <w:b/>
                <w:color w:val="000000" w:themeColor="text1"/>
                <w:lang w:val="en-US"/>
              </w:rPr>
              <w:t>=150)</w:t>
            </w:r>
          </w:p>
        </w:tc>
        <w:tc>
          <w:tcPr>
            <w:tcW w:w="1446" w:type="dxa"/>
          </w:tcPr>
          <w:p w14:paraId="00565762"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 xml:space="preserve">PEX </w:t>
            </w:r>
          </w:p>
          <w:p w14:paraId="0B6309B2"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w:t>
            </w:r>
            <w:r w:rsidRPr="00C116D5">
              <w:rPr>
                <w:rFonts w:ascii="Arial" w:eastAsia="Calibri" w:hAnsi="Arial" w:cs="Arial"/>
                <w:b/>
                <w:i/>
                <w:color w:val="000000" w:themeColor="text1"/>
                <w:lang w:val="en-US"/>
              </w:rPr>
              <w:t>n</w:t>
            </w:r>
            <w:r w:rsidRPr="00C116D5">
              <w:rPr>
                <w:rFonts w:ascii="Arial" w:eastAsia="Calibri" w:hAnsi="Arial" w:cs="Arial"/>
                <w:b/>
                <w:color w:val="000000" w:themeColor="text1"/>
                <w:lang w:val="en-US"/>
              </w:rPr>
              <w:t>=150)</w:t>
            </w:r>
          </w:p>
        </w:tc>
        <w:tc>
          <w:tcPr>
            <w:tcW w:w="1673" w:type="dxa"/>
            <w:vAlign w:val="center"/>
          </w:tcPr>
          <w:p w14:paraId="7177A2E4"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Control</w:t>
            </w:r>
          </w:p>
          <w:p w14:paraId="15B0FA02"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w:t>
            </w:r>
            <w:r w:rsidRPr="00C116D5">
              <w:rPr>
                <w:rFonts w:ascii="Arial" w:eastAsia="Calibri" w:hAnsi="Arial" w:cs="Arial"/>
                <w:b/>
                <w:i/>
                <w:color w:val="000000" w:themeColor="text1"/>
                <w:lang w:val="en-US"/>
              </w:rPr>
              <w:t>n</w:t>
            </w:r>
            <w:r w:rsidRPr="00C116D5">
              <w:rPr>
                <w:rFonts w:ascii="Arial" w:eastAsia="Calibri" w:hAnsi="Arial" w:cs="Arial"/>
                <w:b/>
                <w:color w:val="000000" w:themeColor="text1"/>
                <w:lang w:val="en-US"/>
              </w:rPr>
              <w:t>=150)</w:t>
            </w:r>
          </w:p>
        </w:tc>
        <w:tc>
          <w:tcPr>
            <w:tcW w:w="2523" w:type="dxa"/>
            <w:vAlign w:val="center"/>
          </w:tcPr>
          <w:p w14:paraId="4173ECBA" w14:textId="77777777" w:rsidR="008B5297" w:rsidRPr="00C116D5" w:rsidRDefault="008B5297" w:rsidP="00023145">
            <w:pPr>
              <w:spacing w:after="0" w:line="360" w:lineRule="auto"/>
              <w:jc w:val="center"/>
              <w:rPr>
                <w:rFonts w:ascii="Arial" w:eastAsia="Calibri" w:hAnsi="Arial" w:cs="Arial"/>
                <w:b/>
                <w:color w:val="000000" w:themeColor="text1"/>
                <w:lang w:val="en-US"/>
              </w:rPr>
            </w:pPr>
            <w:r w:rsidRPr="00C116D5">
              <w:rPr>
                <w:rFonts w:ascii="Arial" w:eastAsia="Calibri" w:hAnsi="Arial" w:cs="Arial"/>
                <w:b/>
                <w:color w:val="000000" w:themeColor="text1"/>
                <w:lang w:val="en-US"/>
              </w:rPr>
              <w:t>OR (95% CI)</w:t>
            </w:r>
          </w:p>
        </w:tc>
        <w:tc>
          <w:tcPr>
            <w:tcW w:w="1048" w:type="dxa"/>
            <w:gridSpan w:val="2"/>
            <w:vAlign w:val="center"/>
          </w:tcPr>
          <w:p w14:paraId="174D78C9" w14:textId="77777777" w:rsidR="008B5297" w:rsidRPr="00C116D5" w:rsidRDefault="008B5297" w:rsidP="00023145">
            <w:pPr>
              <w:spacing w:after="0" w:line="360" w:lineRule="auto"/>
              <w:jc w:val="center"/>
              <w:rPr>
                <w:rFonts w:ascii="Arial" w:eastAsia="Calibri" w:hAnsi="Arial" w:cs="Arial"/>
                <w:b/>
                <w:i/>
                <w:color w:val="000000" w:themeColor="text1"/>
                <w:lang w:val="en-US"/>
              </w:rPr>
            </w:pPr>
            <w:r w:rsidRPr="00C116D5">
              <w:rPr>
                <w:rFonts w:ascii="Arial" w:eastAsia="Calibri" w:hAnsi="Arial" w:cs="Arial"/>
                <w:b/>
                <w:i/>
                <w:color w:val="000000" w:themeColor="text1"/>
                <w:lang w:val="en-US"/>
              </w:rPr>
              <w:t>P</w:t>
            </w:r>
          </w:p>
        </w:tc>
      </w:tr>
      <w:tr w:rsidR="008B5297" w:rsidRPr="00C116D5" w14:paraId="41A7AF5D" w14:textId="77777777" w:rsidTr="00023145">
        <w:trPr>
          <w:trHeight w:val="419"/>
        </w:trPr>
        <w:tc>
          <w:tcPr>
            <w:tcW w:w="2122" w:type="dxa"/>
            <w:vAlign w:val="center"/>
          </w:tcPr>
          <w:p w14:paraId="5A0BDE65" w14:textId="77777777" w:rsidR="008B5297" w:rsidRPr="00C116D5" w:rsidRDefault="008B5297" w:rsidP="00023145">
            <w:pPr>
              <w:spacing w:after="0" w:line="360" w:lineRule="auto"/>
              <w:rPr>
                <w:rFonts w:ascii="Arial" w:eastAsia="Calibri" w:hAnsi="Arial" w:cs="Arial"/>
                <w:b/>
                <w:color w:val="000000" w:themeColor="text1"/>
                <w:lang w:val="en-US"/>
              </w:rPr>
            </w:pPr>
            <w:r w:rsidRPr="00C116D5">
              <w:rPr>
                <w:rFonts w:ascii="Arial" w:eastAsia="Calibri" w:hAnsi="Arial" w:cs="Arial"/>
                <w:b/>
                <w:color w:val="000000" w:themeColor="text1"/>
                <w:lang w:val="en-US"/>
              </w:rPr>
              <w:t xml:space="preserve">Genotypes, </w:t>
            </w:r>
            <w:r w:rsidRPr="00C116D5">
              <w:rPr>
                <w:rFonts w:ascii="Arial" w:eastAsia="Calibri" w:hAnsi="Arial" w:cs="Arial"/>
                <w:b/>
                <w:i/>
                <w:color w:val="000000" w:themeColor="text1"/>
                <w:lang w:val="en-US"/>
              </w:rPr>
              <w:t>n</w:t>
            </w:r>
            <w:r w:rsidRPr="00C116D5">
              <w:rPr>
                <w:rFonts w:ascii="Arial" w:eastAsia="Calibri" w:hAnsi="Arial" w:cs="Arial"/>
                <w:b/>
                <w:color w:val="000000" w:themeColor="text1"/>
                <w:lang w:val="en-US"/>
              </w:rPr>
              <w:t xml:space="preserve"> (%)</w:t>
            </w:r>
          </w:p>
        </w:tc>
        <w:tc>
          <w:tcPr>
            <w:tcW w:w="1417" w:type="dxa"/>
          </w:tcPr>
          <w:p w14:paraId="145FA7C7"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446" w:type="dxa"/>
          </w:tcPr>
          <w:p w14:paraId="34B44407"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673" w:type="dxa"/>
          </w:tcPr>
          <w:p w14:paraId="02A28601"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2523" w:type="dxa"/>
          </w:tcPr>
          <w:p w14:paraId="2FFB9674"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tcPr>
          <w:p w14:paraId="61C79B8F"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6158947F" w14:textId="77777777" w:rsidTr="00023145">
        <w:trPr>
          <w:trHeight w:val="708"/>
        </w:trPr>
        <w:tc>
          <w:tcPr>
            <w:tcW w:w="2122" w:type="dxa"/>
            <w:vAlign w:val="center"/>
          </w:tcPr>
          <w:p w14:paraId="58FF6AA2" w14:textId="77777777" w:rsidR="008B5297" w:rsidRPr="00C116D5" w:rsidRDefault="008B5297" w:rsidP="00023145">
            <w:pPr>
              <w:spacing w:after="0" w:line="360" w:lineRule="auto"/>
              <w:rPr>
                <w:rFonts w:ascii="Arial" w:eastAsia="Calibri" w:hAnsi="Arial" w:cs="Arial"/>
                <w:b/>
                <w:color w:val="000000" w:themeColor="text1"/>
                <w:lang w:val="en-US"/>
              </w:rPr>
            </w:pPr>
            <w:r w:rsidRPr="003654C8">
              <w:rPr>
                <w:rFonts w:ascii="Arial" w:eastAsia="Calibri" w:hAnsi="Arial" w:cs="Arial"/>
                <w:b/>
                <w:i/>
                <w:color w:val="000000" w:themeColor="text1"/>
                <w:lang w:val="en-US"/>
              </w:rPr>
              <w:t>LL</w:t>
            </w:r>
            <w:r w:rsidRPr="00C116D5">
              <w:rPr>
                <w:rFonts w:ascii="Arial" w:eastAsia="Calibri" w:hAnsi="Arial" w:cs="Arial"/>
                <w:b/>
                <w:color w:val="000000" w:themeColor="text1"/>
                <w:lang w:val="en-US"/>
              </w:rPr>
              <w:t xml:space="preserve"> </w:t>
            </w:r>
            <w:r w:rsidRPr="00C116D5">
              <w:rPr>
                <w:rFonts w:ascii="Arial" w:eastAsia="Calibri" w:hAnsi="Arial" w:cs="Arial"/>
                <w:color w:val="000000" w:themeColor="text1"/>
                <w:lang w:val="en-US"/>
              </w:rPr>
              <w:t>(</w:t>
            </w:r>
            <w:r w:rsidRPr="00C116D5">
              <w:rPr>
                <w:rFonts w:ascii="Arial" w:eastAsia="Calibri" w:hAnsi="Arial" w:cs="Arial"/>
                <w:i/>
                <w:color w:val="000000" w:themeColor="text1"/>
                <w:lang w:val="en-US"/>
              </w:rPr>
              <w:t>n</w:t>
            </w:r>
            <w:r w:rsidRPr="00C116D5">
              <w:rPr>
                <w:rFonts w:ascii="Arial" w:eastAsia="Calibri" w:hAnsi="Arial" w:cs="Arial"/>
                <w:color w:val="000000" w:themeColor="text1"/>
                <w:lang w:val="en-US"/>
              </w:rPr>
              <w:t>=201)</w:t>
            </w:r>
          </w:p>
        </w:tc>
        <w:tc>
          <w:tcPr>
            <w:tcW w:w="1417" w:type="dxa"/>
            <w:vAlign w:val="center"/>
          </w:tcPr>
          <w:p w14:paraId="59AABF9D"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57 (38.0)</w:t>
            </w:r>
          </w:p>
        </w:tc>
        <w:tc>
          <w:tcPr>
            <w:tcW w:w="1446" w:type="dxa"/>
            <w:vAlign w:val="center"/>
          </w:tcPr>
          <w:p w14:paraId="0685C00F"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76 (50.</w:t>
            </w:r>
            <m:oMath>
              <m:bar>
                <m:barPr>
                  <m:pos m:val="top"/>
                  <m:ctrlPr>
                    <w:rPr>
                      <w:rFonts w:ascii="Cambria Math" w:eastAsia="Calibri" w:hAnsi="Cambria Math" w:cs="Arial"/>
                      <w:i/>
                      <w:color w:val="000000" w:themeColor="text1"/>
                      <w:sz w:val="24"/>
                      <w:lang w:val="en-US"/>
                    </w:rPr>
                  </m:ctrlPr>
                </m:barPr>
                <m:e>
                  <m:r>
                    <w:rPr>
                      <w:rFonts w:ascii="Cambria Math" w:eastAsia="Calibri" w:hAnsi="Cambria Math" w:cs="Arial"/>
                      <w:color w:val="000000" w:themeColor="text1"/>
                      <w:sz w:val="24"/>
                      <w:lang w:val="en-US"/>
                    </w:rPr>
                    <m:t>6</m:t>
                  </m:r>
                </m:e>
              </m:bar>
            </m:oMath>
            <w:r w:rsidRPr="00C116D5">
              <w:rPr>
                <w:rFonts w:ascii="Arial" w:eastAsia="Calibri" w:hAnsi="Arial" w:cs="Arial"/>
                <w:color w:val="000000" w:themeColor="text1"/>
                <w:lang w:val="en-US"/>
              </w:rPr>
              <w:t>)</w:t>
            </w:r>
          </w:p>
        </w:tc>
        <w:tc>
          <w:tcPr>
            <w:tcW w:w="1673" w:type="dxa"/>
            <w:vAlign w:val="center"/>
          </w:tcPr>
          <w:p w14:paraId="5425A0A4"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68 (45.</w:t>
            </w:r>
            <m:oMath>
              <m:bar>
                <m:barPr>
                  <m:pos m:val="top"/>
                  <m:ctrlPr>
                    <w:rPr>
                      <w:rFonts w:ascii="Cambria Math" w:eastAsia="Calibri" w:hAnsi="Cambria Math" w:cs="Arial"/>
                      <w:color w:val="000000" w:themeColor="text1"/>
                      <w:sz w:val="24"/>
                      <w:lang w:val="en-US"/>
                    </w:rPr>
                  </m:ctrlPr>
                </m:barPr>
                <m:e>
                  <m:r>
                    <m:rPr>
                      <m:sty m:val="p"/>
                    </m:rPr>
                    <w:rPr>
                      <w:rFonts w:ascii="Cambria Math" w:eastAsia="Calibri" w:hAnsi="Cambria Math" w:cs="Arial"/>
                      <w:color w:val="000000" w:themeColor="text1"/>
                      <w:sz w:val="24"/>
                      <w:lang w:val="en-US"/>
                    </w:rPr>
                    <m:t>3</m:t>
                  </m:r>
                </m:e>
              </m:bar>
            </m:oMath>
            <w:r w:rsidRPr="00C116D5">
              <w:rPr>
                <w:rFonts w:ascii="Arial" w:eastAsia="Calibri" w:hAnsi="Arial" w:cs="Arial"/>
                <w:color w:val="000000" w:themeColor="text1"/>
                <w:lang w:val="en-US"/>
              </w:rPr>
              <w:t>)</w:t>
            </w:r>
          </w:p>
        </w:tc>
        <w:tc>
          <w:tcPr>
            <w:tcW w:w="2523" w:type="dxa"/>
            <w:vMerge w:val="restart"/>
          </w:tcPr>
          <w:p w14:paraId="42909F53"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1.000</w:t>
            </w:r>
            <w:r w:rsidRPr="00C116D5">
              <w:rPr>
                <w:rFonts w:ascii="Arial" w:eastAsia="Calibri" w:hAnsi="Arial" w:cs="Arial"/>
                <w:color w:val="000000" w:themeColor="text1"/>
                <w:vertAlign w:val="superscript"/>
                <w:lang w:val="en-US"/>
              </w:rPr>
              <w:t>a</w:t>
            </w:r>
            <w:r w:rsidRPr="00C116D5">
              <w:rPr>
                <w:rFonts w:ascii="Arial" w:eastAsia="Calibri" w:hAnsi="Arial" w:cs="Arial"/>
                <w:color w:val="000000" w:themeColor="text1"/>
                <w:lang w:val="en-US"/>
              </w:rPr>
              <w:t xml:space="preserve"> (</w:t>
            </w:r>
            <w:r w:rsidRPr="00C116D5">
              <w:rPr>
                <w:rFonts w:ascii="Arial" w:hAnsi="Arial" w:cs="Arial"/>
                <w:color w:val="000000" w:themeColor="text1"/>
              </w:rPr>
              <w:t>0.49 - 2.042</w:t>
            </w:r>
            <w:r w:rsidRPr="00C116D5">
              <w:rPr>
                <w:rFonts w:ascii="Arial" w:eastAsia="Calibri" w:hAnsi="Arial" w:cs="Arial"/>
                <w:color w:val="000000" w:themeColor="text1"/>
                <w:lang w:val="en-US"/>
              </w:rPr>
              <w:t>)</w:t>
            </w:r>
          </w:p>
          <w:p w14:paraId="413D14A2"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1.565</w:t>
            </w:r>
            <w:r w:rsidRPr="00C116D5">
              <w:rPr>
                <w:rFonts w:ascii="Arial" w:eastAsia="Calibri" w:hAnsi="Arial" w:cs="Arial"/>
                <w:color w:val="000000" w:themeColor="text1"/>
                <w:vertAlign w:val="superscript"/>
                <w:lang w:val="en-US"/>
              </w:rPr>
              <w:t>b</w:t>
            </w:r>
            <w:r w:rsidRPr="00C116D5">
              <w:rPr>
                <w:rFonts w:ascii="Arial" w:eastAsia="Calibri" w:hAnsi="Arial" w:cs="Arial"/>
                <w:color w:val="000000" w:themeColor="text1"/>
                <w:lang w:val="en-US"/>
              </w:rPr>
              <w:t xml:space="preserve"> (</w:t>
            </w:r>
            <w:r w:rsidRPr="00C116D5">
              <w:rPr>
                <w:rFonts w:ascii="Arial" w:hAnsi="Arial" w:cs="Arial"/>
                <w:color w:val="000000" w:themeColor="text1"/>
              </w:rPr>
              <w:t>0.806 - 3.036</w:t>
            </w:r>
            <w:r w:rsidRPr="00C116D5">
              <w:rPr>
                <w:rFonts w:ascii="Arial" w:eastAsia="Calibri" w:hAnsi="Arial" w:cs="Arial"/>
                <w:color w:val="000000" w:themeColor="text1"/>
                <w:lang w:val="en-US"/>
              </w:rPr>
              <w:t>)</w:t>
            </w:r>
          </w:p>
          <w:p w14:paraId="5F4D70C1"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eastAsia="Calibri" w:hAnsi="Arial" w:cs="Arial"/>
                <w:color w:val="000000" w:themeColor="text1"/>
                <w:lang w:val="en-US"/>
              </w:rPr>
              <w:t>0.639</w:t>
            </w:r>
            <w:r w:rsidRPr="00C116D5">
              <w:rPr>
                <w:rFonts w:ascii="Arial" w:eastAsia="Calibri" w:hAnsi="Arial" w:cs="Arial"/>
                <w:color w:val="000000" w:themeColor="text1"/>
                <w:vertAlign w:val="superscript"/>
                <w:lang w:val="en-US"/>
              </w:rPr>
              <w:t>c</w:t>
            </w:r>
            <w:r w:rsidRPr="00C116D5">
              <w:rPr>
                <w:rFonts w:ascii="Arial" w:eastAsia="Calibri" w:hAnsi="Arial" w:cs="Arial"/>
                <w:color w:val="000000" w:themeColor="text1"/>
                <w:lang w:val="en-US"/>
              </w:rPr>
              <w:t xml:space="preserve"> (</w:t>
            </w:r>
            <w:r w:rsidRPr="00C116D5">
              <w:rPr>
                <w:rFonts w:ascii="Arial" w:hAnsi="Arial" w:cs="Arial"/>
                <w:color w:val="000000" w:themeColor="text1"/>
              </w:rPr>
              <w:t>0.329 - 1.240)</w:t>
            </w:r>
          </w:p>
          <w:p w14:paraId="38EB7727"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hAnsi="Arial" w:cs="Arial"/>
                <w:color w:val="000000" w:themeColor="text1"/>
              </w:rPr>
              <w:t>1.353</w:t>
            </w:r>
            <w:r w:rsidRPr="00C116D5">
              <w:rPr>
                <w:rFonts w:ascii="Arial" w:hAnsi="Arial" w:cs="Arial"/>
                <w:color w:val="000000" w:themeColor="text1"/>
                <w:vertAlign w:val="superscript"/>
              </w:rPr>
              <w:t>d</w:t>
            </w:r>
            <w:r w:rsidRPr="00C116D5">
              <w:rPr>
                <w:rFonts w:ascii="Arial" w:hAnsi="Arial" w:cs="Arial"/>
                <w:color w:val="000000" w:themeColor="text1"/>
              </w:rPr>
              <w:t xml:space="preserve"> (0.854 - 2.144)</w:t>
            </w:r>
          </w:p>
          <w:p w14:paraId="3C46E13E"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hAnsi="Arial" w:cs="Arial"/>
                <w:color w:val="000000" w:themeColor="text1"/>
              </w:rPr>
              <w:t>0.807</w:t>
            </w:r>
            <w:r w:rsidRPr="00C116D5">
              <w:rPr>
                <w:rFonts w:ascii="Arial" w:hAnsi="Arial" w:cs="Arial"/>
                <w:color w:val="000000" w:themeColor="text1"/>
                <w:vertAlign w:val="superscript"/>
              </w:rPr>
              <w:t>e</w:t>
            </w:r>
            <w:r w:rsidRPr="00C116D5">
              <w:rPr>
                <w:rFonts w:ascii="Arial" w:hAnsi="Arial" w:cs="Arial"/>
                <w:color w:val="000000" w:themeColor="text1"/>
              </w:rPr>
              <w:t xml:space="preserve"> (0.513 - 1.271)</w:t>
            </w:r>
          </w:p>
          <w:p w14:paraId="063BEBB5"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hAnsi="Arial" w:cs="Arial"/>
                <w:color w:val="000000" w:themeColor="text1"/>
              </w:rPr>
              <w:t>1.676</w:t>
            </w:r>
            <w:r w:rsidRPr="00C116D5">
              <w:rPr>
                <w:rFonts w:ascii="Arial" w:hAnsi="Arial" w:cs="Arial"/>
                <w:color w:val="000000" w:themeColor="text1"/>
                <w:vertAlign w:val="superscript"/>
              </w:rPr>
              <w:t>f</w:t>
            </w:r>
            <w:r w:rsidRPr="00C116D5">
              <w:rPr>
                <w:rFonts w:ascii="Arial" w:hAnsi="Arial" w:cs="Arial"/>
                <w:color w:val="000000" w:themeColor="text1"/>
              </w:rPr>
              <w:t xml:space="preserve"> (1.058 - 2.653)</w:t>
            </w:r>
          </w:p>
        </w:tc>
        <w:tc>
          <w:tcPr>
            <w:tcW w:w="1048" w:type="dxa"/>
            <w:gridSpan w:val="2"/>
            <w:vMerge w:val="restart"/>
          </w:tcPr>
          <w:p w14:paraId="43CE2C9C"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1.000</w:t>
            </w:r>
            <w:r w:rsidRPr="00C116D5">
              <w:rPr>
                <w:rFonts w:ascii="Arial" w:eastAsia="Calibri" w:hAnsi="Arial" w:cs="Arial"/>
                <w:color w:val="000000" w:themeColor="text1"/>
                <w:vertAlign w:val="superscript"/>
                <w:lang w:val="en-US"/>
              </w:rPr>
              <w:t>a</w:t>
            </w:r>
          </w:p>
          <w:p w14:paraId="57923CCE"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0.183</w:t>
            </w:r>
            <w:r w:rsidRPr="00C116D5">
              <w:rPr>
                <w:rFonts w:ascii="Arial" w:eastAsia="Calibri" w:hAnsi="Arial" w:cs="Arial"/>
                <w:color w:val="000000" w:themeColor="text1"/>
                <w:vertAlign w:val="superscript"/>
                <w:lang w:val="en-US"/>
              </w:rPr>
              <w:t>b</w:t>
            </w:r>
          </w:p>
          <w:p w14:paraId="20338667"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0.183</w:t>
            </w:r>
            <w:r w:rsidRPr="00C116D5">
              <w:rPr>
                <w:rFonts w:ascii="Arial" w:eastAsia="Calibri" w:hAnsi="Arial" w:cs="Arial"/>
                <w:color w:val="000000" w:themeColor="text1"/>
                <w:vertAlign w:val="superscript"/>
                <w:lang w:val="en-US"/>
              </w:rPr>
              <w:t>c</w:t>
            </w:r>
          </w:p>
          <w:p w14:paraId="73B7CF8B" w14:textId="77777777" w:rsidR="008B5297" w:rsidRPr="00C116D5" w:rsidRDefault="008B5297" w:rsidP="00023145">
            <w:pPr>
              <w:spacing w:after="0" w:line="360" w:lineRule="auto"/>
              <w:jc w:val="center"/>
              <w:rPr>
                <w:rFonts w:ascii="Arial" w:hAnsi="Arial" w:cs="Arial"/>
                <w:color w:val="000000" w:themeColor="text1"/>
                <w:vertAlign w:val="superscript"/>
              </w:rPr>
            </w:pPr>
            <w:r w:rsidRPr="00C116D5">
              <w:rPr>
                <w:rFonts w:ascii="Arial" w:eastAsia="Calibri" w:hAnsi="Arial" w:cs="Arial"/>
                <w:color w:val="000000" w:themeColor="text1"/>
                <w:lang w:val="en-US"/>
              </w:rPr>
              <w:t>0.198</w:t>
            </w:r>
            <w:r w:rsidRPr="00C116D5">
              <w:rPr>
                <w:rFonts w:ascii="Arial" w:hAnsi="Arial" w:cs="Arial"/>
                <w:color w:val="000000" w:themeColor="text1"/>
                <w:vertAlign w:val="superscript"/>
              </w:rPr>
              <w:t>d</w:t>
            </w:r>
          </w:p>
          <w:p w14:paraId="6DA1F530" w14:textId="77777777" w:rsidR="008B5297" w:rsidRPr="00C116D5" w:rsidRDefault="008B5297" w:rsidP="00023145">
            <w:pPr>
              <w:spacing w:after="0" w:line="360" w:lineRule="auto"/>
              <w:jc w:val="center"/>
              <w:rPr>
                <w:rFonts w:ascii="Arial" w:hAnsi="Arial" w:cs="Arial"/>
                <w:color w:val="000000" w:themeColor="text1"/>
                <w:vertAlign w:val="superscript"/>
              </w:rPr>
            </w:pPr>
            <w:r w:rsidRPr="00C116D5">
              <w:rPr>
                <w:rFonts w:ascii="Arial" w:hAnsi="Arial" w:cs="Arial"/>
                <w:color w:val="000000" w:themeColor="text1"/>
              </w:rPr>
              <w:t>0.355</w:t>
            </w:r>
            <w:r w:rsidRPr="00C116D5">
              <w:rPr>
                <w:rFonts w:ascii="Arial" w:hAnsi="Arial" w:cs="Arial"/>
                <w:color w:val="000000" w:themeColor="text1"/>
                <w:vertAlign w:val="superscript"/>
              </w:rPr>
              <w:t>e</w:t>
            </w:r>
          </w:p>
          <w:p w14:paraId="79482FA4"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hAnsi="Arial" w:cs="Arial"/>
                <w:color w:val="000000" w:themeColor="text1"/>
              </w:rPr>
              <w:t>0.027</w:t>
            </w:r>
            <w:r w:rsidRPr="00C116D5">
              <w:rPr>
                <w:rFonts w:ascii="Arial" w:hAnsi="Arial" w:cs="Arial"/>
                <w:color w:val="000000" w:themeColor="text1"/>
                <w:vertAlign w:val="superscript"/>
              </w:rPr>
              <w:t>f</w:t>
            </w:r>
          </w:p>
        </w:tc>
      </w:tr>
      <w:tr w:rsidR="008B5297" w:rsidRPr="00C116D5" w14:paraId="111DD2EF" w14:textId="77777777" w:rsidTr="00023145">
        <w:trPr>
          <w:trHeight w:val="691"/>
        </w:trPr>
        <w:tc>
          <w:tcPr>
            <w:tcW w:w="2122" w:type="dxa"/>
            <w:vAlign w:val="center"/>
          </w:tcPr>
          <w:p w14:paraId="1E45B7F6" w14:textId="77777777" w:rsidR="008B5297" w:rsidRPr="00C116D5" w:rsidRDefault="008B5297" w:rsidP="00023145">
            <w:pPr>
              <w:spacing w:after="0" w:line="360" w:lineRule="auto"/>
              <w:rPr>
                <w:rFonts w:ascii="Arial" w:eastAsia="Calibri" w:hAnsi="Arial" w:cs="Arial"/>
                <w:b/>
                <w:color w:val="000000" w:themeColor="text1"/>
                <w:lang w:val="en-US"/>
              </w:rPr>
            </w:pPr>
            <w:r w:rsidRPr="003654C8">
              <w:rPr>
                <w:rFonts w:ascii="Arial" w:eastAsia="Calibri" w:hAnsi="Arial" w:cs="Arial"/>
                <w:b/>
                <w:i/>
                <w:color w:val="000000" w:themeColor="text1"/>
                <w:lang w:val="en-US"/>
              </w:rPr>
              <w:t>LM</w:t>
            </w:r>
            <w:r w:rsidRPr="00C116D5">
              <w:rPr>
                <w:rFonts w:ascii="Arial" w:eastAsia="Calibri" w:hAnsi="Arial" w:cs="Arial"/>
                <w:color w:val="000000" w:themeColor="text1"/>
                <w:lang w:val="en-US"/>
              </w:rPr>
              <w:t xml:space="preserve"> (</w:t>
            </w:r>
            <w:r w:rsidRPr="00C116D5">
              <w:rPr>
                <w:rFonts w:ascii="Arial" w:eastAsia="Calibri" w:hAnsi="Arial" w:cs="Arial"/>
                <w:i/>
                <w:color w:val="000000" w:themeColor="text1"/>
                <w:lang w:val="en-US"/>
              </w:rPr>
              <w:t>n</w:t>
            </w:r>
            <w:r w:rsidRPr="00C116D5">
              <w:rPr>
                <w:rFonts w:ascii="Arial" w:eastAsia="Calibri" w:hAnsi="Arial" w:cs="Arial"/>
                <w:color w:val="000000" w:themeColor="text1"/>
                <w:lang w:val="en-US"/>
              </w:rPr>
              <w:t>=191)</w:t>
            </w:r>
          </w:p>
        </w:tc>
        <w:tc>
          <w:tcPr>
            <w:tcW w:w="1417" w:type="dxa"/>
            <w:vAlign w:val="center"/>
          </w:tcPr>
          <w:p w14:paraId="73AF1A73"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76 (50.</w:t>
            </w:r>
            <m:oMath>
              <m:bar>
                <m:barPr>
                  <m:pos m:val="top"/>
                  <m:ctrlPr>
                    <w:rPr>
                      <w:rFonts w:ascii="Cambria Math" w:eastAsia="Calibri" w:hAnsi="Cambria Math" w:cs="Arial"/>
                      <w:i/>
                      <w:color w:val="000000" w:themeColor="text1"/>
                      <w:sz w:val="24"/>
                      <w:lang w:val="en-US"/>
                    </w:rPr>
                  </m:ctrlPr>
                </m:barPr>
                <m:e>
                  <m:r>
                    <w:rPr>
                      <w:rFonts w:ascii="Cambria Math" w:eastAsia="Calibri" w:hAnsi="Cambria Math" w:cs="Arial"/>
                      <w:color w:val="000000" w:themeColor="text1"/>
                      <w:sz w:val="24"/>
                      <w:lang w:val="en-US"/>
                    </w:rPr>
                    <m:t>6</m:t>
                  </m:r>
                </m:e>
              </m:bar>
            </m:oMath>
            <w:r w:rsidRPr="00C116D5">
              <w:rPr>
                <w:rFonts w:ascii="Arial" w:eastAsia="Calibri" w:hAnsi="Arial" w:cs="Arial"/>
                <w:color w:val="000000" w:themeColor="text1"/>
                <w:lang w:val="en-US"/>
              </w:rPr>
              <w:t>)</w:t>
            </w:r>
          </w:p>
        </w:tc>
        <w:tc>
          <w:tcPr>
            <w:tcW w:w="1446" w:type="dxa"/>
            <w:vAlign w:val="center"/>
          </w:tcPr>
          <w:p w14:paraId="1F96B5ED"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49 (32.</w:t>
            </w:r>
            <m:oMath>
              <m:bar>
                <m:barPr>
                  <m:pos m:val="top"/>
                  <m:ctrlPr>
                    <w:rPr>
                      <w:rFonts w:ascii="Cambria Math" w:eastAsia="Calibri" w:hAnsi="Cambria Math" w:cs="Arial"/>
                      <w:i/>
                      <w:color w:val="000000" w:themeColor="text1"/>
                      <w:sz w:val="24"/>
                      <w:lang w:val="en-US"/>
                    </w:rPr>
                  </m:ctrlPr>
                </m:barPr>
                <m:e>
                  <m:r>
                    <w:rPr>
                      <w:rFonts w:ascii="Cambria Math" w:eastAsia="Calibri" w:hAnsi="Cambria Math" w:cs="Arial"/>
                      <w:color w:val="000000" w:themeColor="text1"/>
                      <w:sz w:val="24"/>
                      <w:lang w:val="en-US"/>
                    </w:rPr>
                    <m:t>6</m:t>
                  </m:r>
                </m:e>
              </m:bar>
            </m:oMath>
            <w:r w:rsidRPr="00C116D5">
              <w:rPr>
                <w:rFonts w:ascii="Arial" w:eastAsia="Calibri" w:hAnsi="Arial" w:cs="Arial"/>
                <w:color w:val="000000" w:themeColor="text1"/>
                <w:lang w:val="en-US"/>
              </w:rPr>
              <w:t>)</w:t>
            </w:r>
          </w:p>
        </w:tc>
        <w:tc>
          <w:tcPr>
            <w:tcW w:w="1673" w:type="dxa"/>
            <w:vAlign w:val="center"/>
          </w:tcPr>
          <w:p w14:paraId="73CDFA38"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65 (43.</w:t>
            </w:r>
            <m:oMath>
              <m:bar>
                <m:barPr>
                  <m:pos m:val="top"/>
                  <m:ctrlPr>
                    <w:rPr>
                      <w:rFonts w:ascii="Cambria Math" w:eastAsia="Calibri" w:hAnsi="Cambria Math" w:cs="Arial"/>
                      <w:color w:val="000000" w:themeColor="text1"/>
                      <w:sz w:val="24"/>
                      <w:lang w:val="en-US"/>
                    </w:rPr>
                  </m:ctrlPr>
                </m:barPr>
                <m:e>
                  <m:r>
                    <m:rPr>
                      <m:sty m:val="p"/>
                    </m:rPr>
                    <w:rPr>
                      <w:rFonts w:ascii="Cambria Math" w:eastAsia="Calibri" w:hAnsi="Cambria Math" w:cs="Arial"/>
                      <w:color w:val="000000" w:themeColor="text1"/>
                      <w:sz w:val="24"/>
                      <w:lang w:val="en-US"/>
                    </w:rPr>
                    <m:t>3</m:t>
                  </m:r>
                </m:e>
              </m:bar>
            </m:oMath>
            <w:r w:rsidRPr="00C116D5">
              <w:rPr>
                <w:rFonts w:ascii="Arial" w:eastAsia="Calibri" w:hAnsi="Arial" w:cs="Arial"/>
                <w:color w:val="000000" w:themeColor="text1"/>
                <w:sz w:val="24"/>
                <w:lang w:val="en-US"/>
              </w:rPr>
              <w:t>)</w:t>
            </w:r>
          </w:p>
        </w:tc>
        <w:tc>
          <w:tcPr>
            <w:tcW w:w="2523" w:type="dxa"/>
            <w:vMerge/>
            <w:vAlign w:val="center"/>
          </w:tcPr>
          <w:p w14:paraId="40052E3B"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Merge/>
          </w:tcPr>
          <w:p w14:paraId="21CB58E3"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69C36E43" w14:textId="77777777" w:rsidTr="00023145">
        <w:trPr>
          <w:trHeight w:val="485"/>
        </w:trPr>
        <w:tc>
          <w:tcPr>
            <w:tcW w:w="2122" w:type="dxa"/>
            <w:vAlign w:val="center"/>
          </w:tcPr>
          <w:p w14:paraId="4031E5D4" w14:textId="77777777" w:rsidR="008B5297" w:rsidRPr="00C116D5" w:rsidRDefault="008B5297" w:rsidP="00023145">
            <w:pPr>
              <w:spacing w:after="0" w:line="360" w:lineRule="auto"/>
              <w:rPr>
                <w:rFonts w:ascii="Arial" w:eastAsia="Calibri" w:hAnsi="Arial" w:cs="Arial"/>
                <w:b/>
                <w:color w:val="000000" w:themeColor="text1"/>
                <w:lang w:val="en-US"/>
              </w:rPr>
            </w:pPr>
            <w:r w:rsidRPr="003654C8">
              <w:rPr>
                <w:rFonts w:ascii="Arial" w:eastAsia="Calibri" w:hAnsi="Arial" w:cs="Arial"/>
                <w:b/>
                <w:i/>
                <w:color w:val="000000" w:themeColor="text1"/>
                <w:lang w:val="en-US"/>
              </w:rPr>
              <w:t>MM</w:t>
            </w:r>
            <w:r w:rsidRPr="00C116D5">
              <w:rPr>
                <w:rFonts w:ascii="Arial" w:eastAsia="Calibri" w:hAnsi="Arial" w:cs="Arial"/>
                <w:b/>
                <w:color w:val="000000" w:themeColor="text1"/>
                <w:lang w:val="en-US"/>
              </w:rPr>
              <w:t xml:space="preserve"> </w:t>
            </w:r>
            <w:r w:rsidRPr="00C116D5">
              <w:rPr>
                <w:rFonts w:ascii="Arial" w:eastAsia="Calibri" w:hAnsi="Arial" w:cs="Arial"/>
                <w:color w:val="000000" w:themeColor="text1"/>
                <w:lang w:val="en-US"/>
              </w:rPr>
              <w:t>(</w:t>
            </w:r>
            <w:r w:rsidRPr="00C116D5">
              <w:rPr>
                <w:rFonts w:ascii="Arial" w:eastAsia="Calibri" w:hAnsi="Arial" w:cs="Arial"/>
                <w:i/>
                <w:color w:val="000000" w:themeColor="text1"/>
                <w:lang w:val="en-US"/>
              </w:rPr>
              <w:t>n</w:t>
            </w:r>
            <w:r w:rsidRPr="00C116D5">
              <w:rPr>
                <w:rFonts w:ascii="Arial" w:eastAsia="Calibri" w:hAnsi="Arial" w:cs="Arial"/>
                <w:color w:val="000000" w:themeColor="text1"/>
                <w:lang w:val="en-US"/>
              </w:rPr>
              <w:t>=58)</w:t>
            </w:r>
          </w:p>
        </w:tc>
        <w:tc>
          <w:tcPr>
            <w:tcW w:w="1417" w:type="dxa"/>
            <w:vAlign w:val="center"/>
          </w:tcPr>
          <w:p w14:paraId="554AC909"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17 (11.</w:t>
            </w:r>
            <m:oMath>
              <m:bar>
                <m:barPr>
                  <m:pos m:val="top"/>
                  <m:ctrlPr>
                    <w:rPr>
                      <w:rFonts w:ascii="Cambria Math" w:eastAsia="Calibri" w:hAnsi="Cambria Math" w:cs="Arial"/>
                      <w:color w:val="000000" w:themeColor="text1"/>
                      <w:sz w:val="24"/>
                      <w:lang w:val="en-US"/>
                    </w:rPr>
                  </m:ctrlPr>
                </m:barPr>
                <m:e>
                  <m:r>
                    <m:rPr>
                      <m:sty m:val="p"/>
                    </m:rPr>
                    <w:rPr>
                      <w:rFonts w:ascii="Cambria Math" w:eastAsia="Calibri" w:hAnsi="Cambria Math" w:cs="Arial"/>
                      <w:color w:val="000000" w:themeColor="text1"/>
                      <w:sz w:val="24"/>
                      <w:lang w:val="en-US"/>
                    </w:rPr>
                    <m:t>3</m:t>
                  </m:r>
                </m:e>
              </m:bar>
            </m:oMath>
            <w:r w:rsidRPr="00C116D5">
              <w:rPr>
                <w:rFonts w:ascii="Arial" w:eastAsia="Calibri" w:hAnsi="Arial" w:cs="Arial"/>
                <w:color w:val="000000" w:themeColor="text1"/>
                <w:lang w:val="en-US"/>
              </w:rPr>
              <w:t>)</w:t>
            </w:r>
          </w:p>
        </w:tc>
        <w:tc>
          <w:tcPr>
            <w:tcW w:w="1446" w:type="dxa"/>
            <w:vAlign w:val="center"/>
          </w:tcPr>
          <w:p w14:paraId="310F4200"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25 (16.</w:t>
            </w:r>
            <m:oMath>
              <m:bar>
                <m:barPr>
                  <m:pos m:val="top"/>
                  <m:ctrlPr>
                    <w:rPr>
                      <w:rFonts w:ascii="Cambria Math" w:eastAsia="Calibri" w:hAnsi="Cambria Math" w:cs="Arial"/>
                      <w:i/>
                      <w:color w:val="000000" w:themeColor="text1"/>
                      <w:sz w:val="24"/>
                      <w:lang w:val="en-US"/>
                    </w:rPr>
                  </m:ctrlPr>
                </m:barPr>
                <m:e>
                  <m:r>
                    <w:rPr>
                      <w:rFonts w:ascii="Cambria Math" w:eastAsia="Calibri" w:hAnsi="Cambria Math" w:cs="Arial"/>
                      <w:color w:val="000000" w:themeColor="text1"/>
                      <w:sz w:val="24"/>
                      <w:lang w:val="en-US"/>
                    </w:rPr>
                    <m:t>6</m:t>
                  </m:r>
                </m:e>
              </m:bar>
            </m:oMath>
            <w:r w:rsidRPr="00C116D5">
              <w:rPr>
                <w:rFonts w:ascii="Arial" w:eastAsia="Calibri" w:hAnsi="Arial" w:cs="Arial"/>
                <w:color w:val="000000" w:themeColor="text1"/>
                <w:lang w:val="en-US"/>
              </w:rPr>
              <w:t>)</w:t>
            </w:r>
          </w:p>
        </w:tc>
        <w:tc>
          <w:tcPr>
            <w:tcW w:w="1673" w:type="dxa"/>
            <w:vAlign w:val="center"/>
          </w:tcPr>
          <w:p w14:paraId="3163CAC6"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17 (11.</w:t>
            </w:r>
            <m:oMath>
              <m:bar>
                <m:barPr>
                  <m:pos m:val="top"/>
                  <m:ctrlPr>
                    <w:rPr>
                      <w:rFonts w:ascii="Cambria Math" w:eastAsia="Calibri" w:hAnsi="Cambria Math" w:cs="Arial"/>
                      <w:color w:val="000000" w:themeColor="text1"/>
                      <w:sz w:val="24"/>
                      <w:lang w:val="en-US"/>
                    </w:rPr>
                  </m:ctrlPr>
                </m:barPr>
                <m:e>
                  <m:r>
                    <m:rPr>
                      <m:sty m:val="p"/>
                    </m:rPr>
                    <w:rPr>
                      <w:rFonts w:ascii="Cambria Math" w:eastAsia="Calibri" w:hAnsi="Cambria Math" w:cs="Arial"/>
                      <w:color w:val="000000" w:themeColor="text1"/>
                      <w:sz w:val="24"/>
                      <w:lang w:val="en-US"/>
                    </w:rPr>
                    <m:t>3</m:t>
                  </m:r>
                </m:e>
              </m:bar>
            </m:oMath>
            <w:r w:rsidRPr="00C116D5">
              <w:rPr>
                <w:rFonts w:ascii="Arial" w:eastAsia="Calibri" w:hAnsi="Arial" w:cs="Arial"/>
                <w:color w:val="000000" w:themeColor="text1"/>
                <w:lang w:val="en-US"/>
              </w:rPr>
              <w:t>)</w:t>
            </w:r>
          </w:p>
        </w:tc>
        <w:tc>
          <w:tcPr>
            <w:tcW w:w="2523" w:type="dxa"/>
            <w:vMerge/>
            <w:vAlign w:val="center"/>
          </w:tcPr>
          <w:p w14:paraId="5C66E06D"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Merge/>
            <w:vAlign w:val="center"/>
          </w:tcPr>
          <w:p w14:paraId="71BC8EE9"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4D21F16E" w14:textId="77777777" w:rsidTr="00023145">
        <w:tc>
          <w:tcPr>
            <w:tcW w:w="2122" w:type="dxa"/>
            <w:tcBorders>
              <w:bottom w:val="single" w:sz="4" w:space="0" w:color="auto"/>
            </w:tcBorders>
            <w:vAlign w:val="center"/>
          </w:tcPr>
          <w:p w14:paraId="0969F6A8" w14:textId="77777777" w:rsidR="008B5297" w:rsidRPr="00C116D5" w:rsidRDefault="008B5297" w:rsidP="00023145">
            <w:pPr>
              <w:tabs>
                <w:tab w:val="left" w:pos="510"/>
                <w:tab w:val="center" w:pos="601"/>
              </w:tabs>
              <w:spacing w:after="0" w:line="360" w:lineRule="auto"/>
              <w:rPr>
                <w:rFonts w:ascii="Arial" w:eastAsia="Calibri" w:hAnsi="Arial" w:cs="Arial"/>
                <w:b/>
                <w:color w:val="000000" w:themeColor="text1"/>
                <w:lang w:val="en-US"/>
              </w:rPr>
            </w:pPr>
            <w:r w:rsidRPr="00C116D5">
              <w:rPr>
                <w:rFonts w:ascii="Arial" w:eastAsia="Calibri" w:hAnsi="Arial" w:cs="Arial"/>
                <w:b/>
                <w:color w:val="000000" w:themeColor="text1"/>
                <w:lang w:val="en-US"/>
              </w:rPr>
              <w:t>A</w:t>
            </w:r>
            <w:r w:rsidRPr="00C70FD8">
              <w:rPr>
                <w:rFonts w:ascii="Arial" w:eastAsia="Calibri" w:hAnsi="Arial" w:cs="Arial"/>
                <w:b/>
                <w:color w:val="000000" w:themeColor="text1"/>
                <w:lang w:val="en-US"/>
              </w:rPr>
              <w:t>ll</w:t>
            </w:r>
            <w:r w:rsidRPr="00C116D5">
              <w:rPr>
                <w:rFonts w:ascii="Arial" w:eastAsia="Calibri" w:hAnsi="Arial" w:cs="Arial"/>
                <w:b/>
                <w:color w:val="000000" w:themeColor="text1"/>
                <w:lang w:val="en-US"/>
              </w:rPr>
              <w:t>ele frequency</w:t>
            </w:r>
          </w:p>
        </w:tc>
        <w:tc>
          <w:tcPr>
            <w:tcW w:w="1417" w:type="dxa"/>
            <w:tcBorders>
              <w:bottom w:val="single" w:sz="4" w:space="0" w:color="auto"/>
            </w:tcBorders>
          </w:tcPr>
          <w:p w14:paraId="4128373D"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446" w:type="dxa"/>
            <w:tcBorders>
              <w:bottom w:val="single" w:sz="4" w:space="0" w:color="auto"/>
            </w:tcBorders>
          </w:tcPr>
          <w:p w14:paraId="3EDBFF72"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673" w:type="dxa"/>
            <w:tcBorders>
              <w:bottom w:val="single" w:sz="4" w:space="0" w:color="auto"/>
            </w:tcBorders>
          </w:tcPr>
          <w:p w14:paraId="18E37B8D"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2523" w:type="dxa"/>
            <w:vAlign w:val="center"/>
          </w:tcPr>
          <w:p w14:paraId="6A07A078"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Align w:val="center"/>
          </w:tcPr>
          <w:p w14:paraId="41A40A0A"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77B4F7A8" w14:textId="77777777" w:rsidTr="00023145">
        <w:trPr>
          <w:trHeight w:val="577"/>
        </w:trPr>
        <w:tc>
          <w:tcPr>
            <w:tcW w:w="2122" w:type="dxa"/>
            <w:tcBorders>
              <w:bottom w:val="single" w:sz="4" w:space="0" w:color="auto"/>
            </w:tcBorders>
            <w:vAlign w:val="center"/>
          </w:tcPr>
          <w:p w14:paraId="2A37F3F6" w14:textId="77777777" w:rsidR="008B5297" w:rsidRPr="00C70FD8" w:rsidRDefault="008B5297" w:rsidP="00023145">
            <w:pPr>
              <w:tabs>
                <w:tab w:val="left" w:pos="510"/>
                <w:tab w:val="center" w:pos="601"/>
              </w:tabs>
              <w:spacing w:after="0" w:line="360" w:lineRule="auto"/>
              <w:rPr>
                <w:rFonts w:ascii="Arial" w:eastAsia="Calibri" w:hAnsi="Arial" w:cs="Arial"/>
                <w:b/>
                <w:i/>
                <w:color w:val="000000" w:themeColor="text1"/>
                <w:lang w:val="en-US"/>
              </w:rPr>
            </w:pPr>
            <w:r w:rsidRPr="00C70FD8">
              <w:rPr>
                <w:rFonts w:ascii="Arial" w:eastAsia="Calibri" w:hAnsi="Arial" w:cs="Arial"/>
                <w:b/>
                <w:i/>
                <w:color w:val="000000" w:themeColor="text1"/>
                <w:lang w:val="en-US"/>
              </w:rPr>
              <w:t xml:space="preserve">L </w:t>
            </w:r>
            <w:r w:rsidRPr="00C70FD8">
              <w:rPr>
                <w:rFonts w:ascii="Arial" w:eastAsia="Calibri" w:hAnsi="Arial" w:cs="Arial"/>
                <w:i/>
                <w:color w:val="000000" w:themeColor="text1"/>
                <w:lang w:val="en-US"/>
              </w:rPr>
              <w:t xml:space="preserve"> </w:t>
            </w:r>
          </w:p>
        </w:tc>
        <w:tc>
          <w:tcPr>
            <w:tcW w:w="1417" w:type="dxa"/>
            <w:tcBorders>
              <w:bottom w:val="single" w:sz="4" w:space="0" w:color="auto"/>
            </w:tcBorders>
            <w:vAlign w:val="center"/>
          </w:tcPr>
          <w:p w14:paraId="3F96E687"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0.633</w:t>
            </w:r>
          </w:p>
        </w:tc>
        <w:tc>
          <w:tcPr>
            <w:tcW w:w="1446" w:type="dxa"/>
            <w:tcBorders>
              <w:bottom w:val="single" w:sz="4" w:space="0" w:color="auto"/>
            </w:tcBorders>
            <w:vAlign w:val="center"/>
          </w:tcPr>
          <w:p w14:paraId="1B16B1CC"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0.670</w:t>
            </w:r>
          </w:p>
        </w:tc>
        <w:tc>
          <w:tcPr>
            <w:tcW w:w="1673" w:type="dxa"/>
            <w:tcBorders>
              <w:bottom w:val="single" w:sz="4" w:space="0" w:color="auto"/>
            </w:tcBorders>
            <w:vAlign w:val="center"/>
          </w:tcPr>
          <w:p w14:paraId="50AF9009"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0.670</w:t>
            </w:r>
          </w:p>
        </w:tc>
        <w:tc>
          <w:tcPr>
            <w:tcW w:w="2523" w:type="dxa"/>
            <w:vMerge w:val="restart"/>
            <w:vAlign w:val="center"/>
          </w:tcPr>
          <w:p w14:paraId="7A359A8F"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eastAsia="Calibri" w:hAnsi="Arial" w:cs="Arial"/>
                <w:color w:val="000000" w:themeColor="text1"/>
                <w:lang w:val="en-US"/>
              </w:rPr>
              <w:t>1.175</w:t>
            </w:r>
            <w:r w:rsidRPr="00C116D5">
              <w:rPr>
                <w:rFonts w:ascii="Arial" w:eastAsia="Calibri" w:hAnsi="Arial" w:cs="Arial"/>
                <w:color w:val="000000" w:themeColor="text1"/>
                <w:vertAlign w:val="superscript"/>
                <w:lang w:val="en-US"/>
              </w:rPr>
              <w:t>g</w:t>
            </w:r>
            <w:r w:rsidRPr="00C116D5">
              <w:rPr>
                <w:rFonts w:ascii="Arial" w:eastAsia="Calibri" w:hAnsi="Arial" w:cs="Arial"/>
                <w:color w:val="000000" w:themeColor="text1"/>
                <w:lang w:val="en-US"/>
              </w:rPr>
              <w:t xml:space="preserve"> (</w:t>
            </w:r>
            <w:r w:rsidRPr="00C116D5">
              <w:rPr>
                <w:rFonts w:ascii="Arial" w:hAnsi="Arial" w:cs="Arial"/>
                <w:color w:val="000000" w:themeColor="text1"/>
              </w:rPr>
              <w:t>0.840 - 1.645)</w:t>
            </w:r>
          </w:p>
          <w:p w14:paraId="7577525D"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hAnsi="Arial" w:cs="Arial"/>
                <w:color w:val="000000" w:themeColor="text1"/>
              </w:rPr>
              <w:t>1.000</w:t>
            </w:r>
            <w:r w:rsidRPr="00C116D5">
              <w:rPr>
                <w:rFonts w:ascii="Arial" w:eastAsia="Calibri" w:hAnsi="Arial" w:cs="Arial"/>
                <w:color w:val="000000" w:themeColor="text1"/>
                <w:vertAlign w:val="superscript"/>
                <w:lang w:val="en-US"/>
              </w:rPr>
              <w:t>h</w:t>
            </w:r>
            <w:r w:rsidRPr="00C116D5">
              <w:rPr>
                <w:rFonts w:ascii="Arial" w:hAnsi="Arial" w:cs="Arial"/>
                <w:color w:val="000000" w:themeColor="text1"/>
              </w:rPr>
              <w:t xml:space="preserve"> (0.712 - 1.405)</w:t>
            </w:r>
          </w:p>
          <w:p w14:paraId="7D9FA1B5" w14:textId="77777777" w:rsidR="008B5297" w:rsidRPr="00C116D5" w:rsidRDefault="008B5297" w:rsidP="00023145">
            <w:pPr>
              <w:spacing w:after="0" w:line="360" w:lineRule="auto"/>
              <w:jc w:val="center"/>
              <w:rPr>
                <w:rFonts w:ascii="Arial" w:hAnsi="Arial" w:cs="Arial"/>
                <w:color w:val="000000" w:themeColor="text1"/>
              </w:rPr>
            </w:pPr>
            <w:r w:rsidRPr="00C116D5">
              <w:rPr>
                <w:rFonts w:ascii="Arial" w:hAnsi="Arial" w:cs="Arial"/>
                <w:color w:val="000000" w:themeColor="text1"/>
              </w:rPr>
              <w:t>1.175</w:t>
            </w:r>
            <w:r w:rsidRPr="00C116D5">
              <w:rPr>
                <w:rFonts w:ascii="Arial" w:hAnsi="Arial" w:cs="Arial"/>
                <w:color w:val="000000" w:themeColor="text1"/>
                <w:vertAlign w:val="superscript"/>
              </w:rPr>
              <w:t xml:space="preserve">i </w:t>
            </w:r>
            <w:r w:rsidRPr="00C116D5">
              <w:rPr>
                <w:rFonts w:ascii="Arial" w:hAnsi="Arial" w:cs="Arial"/>
                <w:color w:val="000000" w:themeColor="text1"/>
              </w:rPr>
              <w:t>(0.840 - 1.645)</w:t>
            </w:r>
          </w:p>
        </w:tc>
        <w:tc>
          <w:tcPr>
            <w:tcW w:w="1048" w:type="dxa"/>
            <w:gridSpan w:val="2"/>
            <w:vMerge w:val="restart"/>
            <w:vAlign w:val="center"/>
          </w:tcPr>
          <w:p w14:paraId="700B9A8E"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0.346</w:t>
            </w:r>
            <w:r w:rsidRPr="00C116D5">
              <w:rPr>
                <w:rFonts w:ascii="Arial" w:eastAsia="Calibri" w:hAnsi="Arial" w:cs="Arial"/>
                <w:color w:val="000000" w:themeColor="text1"/>
                <w:vertAlign w:val="superscript"/>
                <w:lang w:val="en-US"/>
              </w:rPr>
              <w:t>g</w:t>
            </w:r>
          </w:p>
          <w:p w14:paraId="083538E5" w14:textId="77777777" w:rsidR="008B5297" w:rsidRPr="00C116D5" w:rsidRDefault="008B5297" w:rsidP="00023145">
            <w:pPr>
              <w:spacing w:after="0" w:line="360" w:lineRule="auto"/>
              <w:jc w:val="center"/>
              <w:rPr>
                <w:rFonts w:ascii="Arial" w:eastAsia="Calibri" w:hAnsi="Arial" w:cs="Arial"/>
                <w:color w:val="000000" w:themeColor="text1"/>
                <w:vertAlign w:val="superscript"/>
                <w:lang w:val="en-US"/>
              </w:rPr>
            </w:pPr>
            <w:r w:rsidRPr="00C116D5">
              <w:rPr>
                <w:rFonts w:ascii="Arial" w:eastAsia="Calibri" w:hAnsi="Arial" w:cs="Arial"/>
                <w:color w:val="000000" w:themeColor="text1"/>
                <w:lang w:val="en-US"/>
              </w:rPr>
              <w:t>1.000</w:t>
            </w:r>
            <w:r w:rsidRPr="00C116D5">
              <w:rPr>
                <w:rFonts w:ascii="Arial" w:eastAsia="Calibri" w:hAnsi="Arial" w:cs="Arial"/>
                <w:color w:val="000000" w:themeColor="text1"/>
                <w:vertAlign w:val="superscript"/>
                <w:lang w:val="en-US"/>
              </w:rPr>
              <w:t>h</w:t>
            </w:r>
          </w:p>
          <w:p w14:paraId="7CD44DAE"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0.346</w:t>
            </w:r>
            <w:r w:rsidRPr="00C116D5">
              <w:rPr>
                <w:rFonts w:ascii="Arial" w:eastAsia="Calibri" w:hAnsi="Arial" w:cs="Arial"/>
                <w:color w:val="000000" w:themeColor="text1"/>
                <w:vertAlign w:val="superscript"/>
                <w:lang w:val="en-US"/>
              </w:rPr>
              <w:t>i</w:t>
            </w:r>
          </w:p>
        </w:tc>
      </w:tr>
      <w:tr w:rsidR="008B5297" w:rsidRPr="00C116D5" w14:paraId="2CE8AF17" w14:textId="77777777" w:rsidTr="00023145">
        <w:trPr>
          <w:trHeight w:val="264"/>
        </w:trPr>
        <w:tc>
          <w:tcPr>
            <w:tcW w:w="2122" w:type="dxa"/>
            <w:tcBorders>
              <w:bottom w:val="single" w:sz="4" w:space="0" w:color="auto"/>
            </w:tcBorders>
            <w:vAlign w:val="center"/>
          </w:tcPr>
          <w:p w14:paraId="748DD426" w14:textId="77777777" w:rsidR="008B5297" w:rsidRPr="00C70FD8" w:rsidRDefault="008B5297" w:rsidP="00023145">
            <w:pPr>
              <w:spacing w:after="0" w:line="360" w:lineRule="auto"/>
              <w:rPr>
                <w:rFonts w:ascii="Arial" w:eastAsia="Calibri" w:hAnsi="Arial" w:cs="Arial"/>
                <w:b/>
                <w:i/>
                <w:color w:val="000000" w:themeColor="text1"/>
                <w:lang w:val="en-US"/>
              </w:rPr>
            </w:pPr>
            <w:r w:rsidRPr="00C70FD8">
              <w:rPr>
                <w:rFonts w:ascii="Arial" w:eastAsia="Calibri" w:hAnsi="Arial" w:cs="Arial"/>
                <w:b/>
                <w:i/>
                <w:color w:val="000000" w:themeColor="text1"/>
                <w:lang w:val="en-US"/>
              </w:rPr>
              <w:t xml:space="preserve">M  </w:t>
            </w:r>
          </w:p>
        </w:tc>
        <w:tc>
          <w:tcPr>
            <w:tcW w:w="1417" w:type="dxa"/>
            <w:tcBorders>
              <w:bottom w:val="single" w:sz="4" w:space="0" w:color="auto"/>
            </w:tcBorders>
            <w:vAlign w:val="center"/>
          </w:tcPr>
          <w:p w14:paraId="0010BA35"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0.367</w:t>
            </w:r>
          </w:p>
        </w:tc>
        <w:tc>
          <w:tcPr>
            <w:tcW w:w="1446" w:type="dxa"/>
            <w:tcBorders>
              <w:bottom w:val="single" w:sz="4" w:space="0" w:color="auto"/>
            </w:tcBorders>
            <w:vAlign w:val="center"/>
          </w:tcPr>
          <w:p w14:paraId="1CC4353C"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0.330</w:t>
            </w:r>
          </w:p>
        </w:tc>
        <w:tc>
          <w:tcPr>
            <w:tcW w:w="1673" w:type="dxa"/>
            <w:tcBorders>
              <w:bottom w:val="single" w:sz="4" w:space="0" w:color="auto"/>
            </w:tcBorders>
            <w:vAlign w:val="center"/>
          </w:tcPr>
          <w:p w14:paraId="2E3AF832" w14:textId="77777777" w:rsidR="008B5297" w:rsidRPr="00C116D5" w:rsidRDefault="008B5297" w:rsidP="00023145">
            <w:pPr>
              <w:spacing w:after="0" w:line="360" w:lineRule="auto"/>
              <w:jc w:val="center"/>
              <w:rPr>
                <w:rFonts w:ascii="Arial" w:eastAsia="Calibri" w:hAnsi="Arial" w:cs="Arial"/>
                <w:color w:val="000000" w:themeColor="text1"/>
                <w:lang w:val="en-US"/>
              </w:rPr>
            </w:pPr>
            <w:r w:rsidRPr="00C116D5">
              <w:rPr>
                <w:rFonts w:ascii="Arial" w:eastAsia="Calibri" w:hAnsi="Arial" w:cs="Arial"/>
                <w:color w:val="000000" w:themeColor="text1"/>
                <w:lang w:val="en-US"/>
              </w:rPr>
              <w:t>0.330</w:t>
            </w:r>
          </w:p>
        </w:tc>
        <w:tc>
          <w:tcPr>
            <w:tcW w:w="2523" w:type="dxa"/>
            <w:vMerge/>
            <w:tcBorders>
              <w:bottom w:val="single" w:sz="4" w:space="0" w:color="auto"/>
            </w:tcBorders>
            <w:vAlign w:val="center"/>
          </w:tcPr>
          <w:p w14:paraId="27505C86"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c>
          <w:tcPr>
            <w:tcW w:w="1048" w:type="dxa"/>
            <w:gridSpan w:val="2"/>
            <w:vMerge/>
            <w:tcBorders>
              <w:bottom w:val="single" w:sz="4" w:space="0" w:color="auto"/>
            </w:tcBorders>
            <w:vAlign w:val="center"/>
          </w:tcPr>
          <w:p w14:paraId="50FA49A9" w14:textId="77777777" w:rsidR="008B5297" w:rsidRPr="00C116D5" w:rsidRDefault="008B5297" w:rsidP="00023145">
            <w:pPr>
              <w:spacing w:after="0" w:line="360" w:lineRule="auto"/>
              <w:jc w:val="center"/>
              <w:rPr>
                <w:rFonts w:ascii="Arial" w:eastAsia="Calibri" w:hAnsi="Arial" w:cs="Arial"/>
                <w:color w:val="000000" w:themeColor="text1"/>
                <w:lang w:val="en-US"/>
              </w:rPr>
            </w:pPr>
          </w:p>
        </w:tc>
      </w:tr>
      <w:tr w:rsidR="008B5297" w:rsidRPr="00C116D5" w14:paraId="33FE056B" w14:textId="77777777" w:rsidTr="00023145">
        <w:trPr>
          <w:gridAfter w:val="1"/>
          <w:wAfter w:w="81" w:type="dxa"/>
          <w:trHeight w:val="616"/>
        </w:trPr>
        <w:tc>
          <w:tcPr>
            <w:tcW w:w="10148" w:type="dxa"/>
            <w:gridSpan w:val="6"/>
            <w:tcBorders>
              <w:top w:val="nil"/>
              <w:left w:val="nil"/>
              <w:bottom w:val="nil"/>
              <w:right w:val="nil"/>
            </w:tcBorders>
          </w:tcPr>
          <w:p w14:paraId="7591BEE6" w14:textId="064D3445"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lang w:val="en-US"/>
              </w:rPr>
              <w:t>A</w:t>
            </w:r>
            <w:r w:rsidRPr="00EC243D">
              <w:rPr>
                <w:rFonts w:ascii="Arial" w:eastAsia="Calibri" w:hAnsi="Arial" w:cs="Arial"/>
                <w:color w:val="000000" w:themeColor="text1"/>
                <w:sz w:val="20"/>
                <w:szCs w:val="20"/>
                <w:lang w:val="en-US"/>
              </w:rPr>
              <w:t>ll</w:t>
            </w:r>
            <w:r w:rsidRPr="00C116D5">
              <w:rPr>
                <w:rFonts w:ascii="Arial" w:eastAsia="Calibri" w:hAnsi="Arial" w:cs="Arial"/>
                <w:color w:val="000000" w:themeColor="text1"/>
                <w:sz w:val="20"/>
                <w:szCs w:val="20"/>
                <w:lang w:val="en-US"/>
              </w:rPr>
              <w:t xml:space="preserve"> the P values were calculated using the </w:t>
            </w:r>
            <w:r>
              <w:rPr>
                <w:rFonts w:ascii="Arial" w:eastAsia="Calibri" w:hAnsi="Arial" w:cs="Arial"/>
                <w:color w:val="000000" w:themeColor="text1"/>
                <w:sz w:val="20"/>
                <w:szCs w:val="20"/>
                <w:lang w:val="en-US"/>
              </w:rPr>
              <w:t>chi-squared test</w:t>
            </w:r>
            <w:r w:rsidRPr="00C116D5">
              <w:rPr>
                <w:rFonts w:ascii="Arial" w:eastAsia="Calibri" w:hAnsi="Arial" w:cs="Arial"/>
                <w:color w:val="000000" w:themeColor="text1"/>
                <w:sz w:val="20"/>
                <w:szCs w:val="20"/>
                <w:lang w:val="en-US"/>
              </w:rPr>
              <w:t xml:space="preserve">. </w:t>
            </w:r>
            <w:proofErr w:type="spellStart"/>
            <w:r>
              <w:rPr>
                <w:rFonts w:ascii="Arial" w:eastAsia="Calibri" w:hAnsi="Arial" w:cs="Arial"/>
                <w:color w:val="000000" w:themeColor="text1"/>
                <w:sz w:val="20"/>
                <w:szCs w:val="20"/>
                <w:lang w:val="en-US"/>
              </w:rPr>
              <w:t>Bonferroni</w:t>
            </w:r>
            <w:proofErr w:type="spellEnd"/>
            <w:r>
              <w:rPr>
                <w:rFonts w:ascii="Arial" w:eastAsia="Calibri" w:hAnsi="Arial" w:cs="Arial"/>
                <w:color w:val="000000" w:themeColor="text1"/>
                <w:sz w:val="20"/>
                <w:szCs w:val="20"/>
                <w:lang w:val="en-US"/>
              </w:rPr>
              <w:t xml:space="preserve"> corrected significance cut-off value was 0.0083 for genotypes, and 0.017 for allele frequency.</w:t>
            </w:r>
          </w:p>
          <w:p w14:paraId="73556A93" w14:textId="77777777"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vertAlign w:val="superscript"/>
                <w:lang w:val="en-US"/>
              </w:rPr>
              <w:t>a</w:t>
            </w:r>
            <w:r w:rsidRPr="00C116D5">
              <w:rPr>
                <w:rFonts w:ascii="Arial" w:eastAsia="Calibri" w:hAnsi="Arial" w:cs="Arial"/>
                <w:color w:val="000000" w:themeColor="text1"/>
                <w:sz w:val="20"/>
                <w:szCs w:val="20"/>
                <w:lang w:val="en-US"/>
              </w:rPr>
              <w:t xml:space="preserve"> PEG vs. Control, </w:t>
            </w:r>
            <w:r w:rsidRPr="003654C8">
              <w:rPr>
                <w:rFonts w:ascii="Arial" w:eastAsia="Calibri" w:hAnsi="Arial" w:cs="Arial"/>
                <w:i/>
                <w:color w:val="000000" w:themeColor="text1"/>
                <w:sz w:val="20"/>
                <w:szCs w:val="20"/>
                <w:lang w:val="en-US"/>
              </w:rPr>
              <w:t>MM</w:t>
            </w:r>
            <w:r w:rsidRPr="00C116D5">
              <w:rPr>
                <w:rFonts w:ascii="Arial" w:eastAsia="Calibri" w:hAnsi="Arial" w:cs="Arial"/>
                <w:color w:val="000000" w:themeColor="text1"/>
                <w:sz w:val="20"/>
                <w:szCs w:val="20"/>
                <w:lang w:val="en-US"/>
              </w:rPr>
              <w:t xml:space="preserve"> vs. </w:t>
            </w:r>
            <w:r w:rsidRPr="003654C8">
              <w:rPr>
                <w:rFonts w:ascii="Arial" w:eastAsia="Calibri" w:hAnsi="Arial" w:cs="Arial"/>
                <w:i/>
                <w:color w:val="000000" w:themeColor="text1"/>
                <w:sz w:val="20"/>
                <w:szCs w:val="20"/>
                <w:lang w:val="en-US"/>
              </w:rPr>
              <w:t>LM</w:t>
            </w:r>
            <w:r w:rsidRPr="00C116D5">
              <w:rPr>
                <w:rFonts w:ascii="Arial" w:eastAsia="Calibri" w:hAnsi="Arial" w:cs="Arial"/>
                <w:color w:val="000000" w:themeColor="text1"/>
                <w:sz w:val="20"/>
                <w:szCs w:val="20"/>
                <w:lang w:val="en-US"/>
              </w:rPr>
              <w:t>+</w:t>
            </w:r>
            <w:r w:rsidRPr="003654C8">
              <w:rPr>
                <w:rFonts w:ascii="Arial" w:eastAsia="Calibri" w:hAnsi="Arial" w:cs="Arial"/>
                <w:i/>
                <w:color w:val="000000" w:themeColor="text1"/>
                <w:sz w:val="20"/>
                <w:szCs w:val="20"/>
                <w:lang w:val="en-US"/>
              </w:rPr>
              <w:t>LL</w:t>
            </w:r>
          </w:p>
          <w:p w14:paraId="2EE66E55" w14:textId="77777777"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vertAlign w:val="superscript"/>
                <w:lang w:val="en-US"/>
              </w:rPr>
              <w:t>b</w:t>
            </w:r>
            <w:r w:rsidRPr="00C116D5">
              <w:rPr>
                <w:rFonts w:ascii="Arial" w:eastAsia="Calibri" w:hAnsi="Arial" w:cs="Arial"/>
                <w:color w:val="000000" w:themeColor="text1"/>
                <w:sz w:val="20"/>
                <w:szCs w:val="20"/>
                <w:lang w:val="en-US"/>
              </w:rPr>
              <w:t xml:space="preserve"> PEX vs. Control, </w:t>
            </w:r>
            <w:r w:rsidRPr="003654C8">
              <w:rPr>
                <w:rFonts w:ascii="Arial" w:eastAsia="Calibri" w:hAnsi="Arial" w:cs="Arial"/>
                <w:i/>
                <w:color w:val="000000" w:themeColor="text1"/>
                <w:sz w:val="20"/>
                <w:szCs w:val="20"/>
                <w:lang w:val="en-US"/>
              </w:rPr>
              <w:t>MM</w:t>
            </w:r>
            <w:r w:rsidRPr="00C116D5">
              <w:rPr>
                <w:rFonts w:ascii="Arial" w:eastAsia="Calibri" w:hAnsi="Arial" w:cs="Arial"/>
                <w:color w:val="000000" w:themeColor="text1"/>
                <w:sz w:val="20"/>
                <w:szCs w:val="20"/>
                <w:lang w:val="en-US"/>
              </w:rPr>
              <w:t xml:space="preserve"> vs. </w:t>
            </w:r>
            <w:r w:rsidRPr="003654C8">
              <w:rPr>
                <w:rFonts w:ascii="Arial" w:eastAsia="Calibri" w:hAnsi="Arial" w:cs="Arial"/>
                <w:i/>
                <w:color w:val="000000" w:themeColor="text1"/>
                <w:sz w:val="20"/>
                <w:szCs w:val="20"/>
                <w:lang w:val="en-US"/>
              </w:rPr>
              <w:t>LM</w:t>
            </w:r>
            <w:r w:rsidRPr="00C116D5">
              <w:rPr>
                <w:rFonts w:ascii="Arial" w:eastAsia="Calibri" w:hAnsi="Arial" w:cs="Arial"/>
                <w:color w:val="000000" w:themeColor="text1"/>
                <w:sz w:val="20"/>
                <w:szCs w:val="20"/>
                <w:lang w:val="en-US"/>
              </w:rPr>
              <w:t>+</w:t>
            </w:r>
            <w:r w:rsidRPr="003654C8">
              <w:rPr>
                <w:rFonts w:ascii="Arial" w:eastAsia="Calibri" w:hAnsi="Arial" w:cs="Arial"/>
                <w:i/>
                <w:color w:val="000000" w:themeColor="text1"/>
                <w:sz w:val="20"/>
                <w:szCs w:val="20"/>
                <w:lang w:val="en-US"/>
              </w:rPr>
              <w:t>LL</w:t>
            </w:r>
          </w:p>
          <w:p w14:paraId="59238021" w14:textId="77777777"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vertAlign w:val="superscript"/>
                <w:lang w:val="en-US"/>
              </w:rPr>
              <w:t>c</w:t>
            </w:r>
            <w:r w:rsidRPr="00C116D5">
              <w:rPr>
                <w:rFonts w:ascii="Arial" w:eastAsia="Calibri" w:hAnsi="Arial" w:cs="Arial"/>
                <w:color w:val="000000" w:themeColor="text1"/>
                <w:sz w:val="20"/>
                <w:szCs w:val="20"/>
                <w:lang w:val="en-US"/>
              </w:rPr>
              <w:t xml:space="preserve"> PEG vs. PEX, </w:t>
            </w:r>
            <w:r w:rsidRPr="003654C8">
              <w:rPr>
                <w:rFonts w:ascii="Arial" w:eastAsia="Calibri" w:hAnsi="Arial" w:cs="Arial"/>
                <w:i/>
                <w:color w:val="000000" w:themeColor="text1"/>
                <w:sz w:val="20"/>
                <w:szCs w:val="20"/>
                <w:lang w:val="en-US"/>
              </w:rPr>
              <w:t>MM</w:t>
            </w:r>
            <w:r w:rsidRPr="00C116D5">
              <w:rPr>
                <w:rFonts w:ascii="Arial" w:eastAsia="Calibri" w:hAnsi="Arial" w:cs="Arial"/>
                <w:color w:val="000000" w:themeColor="text1"/>
                <w:sz w:val="20"/>
                <w:szCs w:val="20"/>
                <w:lang w:val="en-US"/>
              </w:rPr>
              <w:t xml:space="preserve"> vs. </w:t>
            </w:r>
            <w:r w:rsidRPr="003654C8">
              <w:rPr>
                <w:rFonts w:ascii="Arial" w:eastAsia="Calibri" w:hAnsi="Arial" w:cs="Arial"/>
                <w:i/>
                <w:color w:val="000000" w:themeColor="text1"/>
                <w:sz w:val="20"/>
                <w:szCs w:val="20"/>
                <w:lang w:val="en-US"/>
              </w:rPr>
              <w:t>LM</w:t>
            </w:r>
            <w:r w:rsidRPr="00C116D5">
              <w:rPr>
                <w:rFonts w:ascii="Arial" w:eastAsia="Calibri" w:hAnsi="Arial" w:cs="Arial"/>
                <w:color w:val="000000" w:themeColor="text1"/>
                <w:sz w:val="20"/>
                <w:szCs w:val="20"/>
                <w:lang w:val="en-US"/>
              </w:rPr>
              <w:t>+</w:t>
            </w:r>
            <w:r w:rsidRPr="003654C8">
              <w:rPr>
                <w:rFonts w:ascii="Arial" w:eastAsia="Calibri" w:hAnsi="Arial" w:cs="Arial"/>
                <w:i/>
                <w:color w:val="000000" w:themeColor="text1"/>
                <w:sz w:val="20"/>
                <w:szCs w:val="20"/>
                <w:lang w:val="en-US"/>
              </w:rPr>
              <w:t>LL</w:t>
            </w:r>
          </w:p>
          <w:p w14:paraId="41F7563E" w14:textId="77777777"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vertAlign w:val="superscript"/>
                <w:lang w:val="en-US"/>
              </w:rPr>
              <w:t>d</w:t>
            </w:r>
            <w:r w:rsidRPr="00C116D5">
              <w:rPr>
                <w:rFonts w:ascii="Arial" w:eastAsia="Calibri" w:hAnsi="Arial" w:cs="Arial"/>
                <w:color w:val="000000" w:themeColor="text1"/>
                <w:sz w:val="20"/>
                <w:szCs w:val="20"/>
                <w:lang w:val="en-US"/>
              </w:rPr>
              <w:t xml:space="preserve"> PEG vs. Control, </w:t>
            </w:r>
            <w:r w:rsidRPr="003654C8">
              <w:rPr>
                <w:rFonts w:ascii="Arial" w:eastAsia="Calibri" w:hAnsi="Arial" w:cs="Arial"/>
                <w:i/>
                <w:color w:val="000000" w:themeColor="text1"/>
                <w:sz w:val="20"/>
                <w:szCs w:val="20"/>
                <w:lang w:val="en-US"/>
              </w:rPr>
              <w:t>MM</w:t>
            </w:r>
            <w:r w:rsidRPr="00C116D5">
              <w:rPr>
                <w:rFonts w:ascii="Arial" w:eastAsia="Calibri" w:hAnsi="Arial" w:cs="Arial"/>
                <w:color w:val="000000" w:themeColor="text1"/>
                <w:sz w:val="20"/>
                <w:szCs w:val="20"/>
                <w:lang w:val="en-US"/>
              </w:rPr>
              <w:t>+</w:t>
            </w:r>
            <w:r w:rsidRPr="003654C8">
              <w:rPr>
                <w:rFonts w:ascii="Arial" w:eastAsia="Calibri" w:hAnsi="Arial" w:cs="Arial"/>
                <w:i/>
                <w:color w:val="000000" w:themeColor="text1"/>
                <w:sz w:val="20"/>
                <w:szCs w:val="20"/>
                <w:lang w:val="en-US"/>
              </w:rPr>
              <w:t>LM</w:t>
            </w:r>
            <w:r w:rsidRPr="00C116D5">
              <w:rPr>
                <w:rFonts w:ascii="Arial" w:eastAsia="Calibri" w:hAnsi="Arial" w:cs="Arial"/>
                <w:color w:val="000000" w:themeColor="text1"/>
                <w:sz w:val="20"/>
                <w:szCs w:val="20"/>
                <w:lang w:val="en-US"/>
              </w:rPr>
              <w:t xml:space="preserve"> vs. </w:t>
            </w:r>
            <w:r w:rsidRPr="003654C8">
              <w:rPr>
                <w:rFonts w:ascii="Arial" w:eastAsia="Calibri" w:hAnsi="Arial" w:cs="Arial"/>
                <w:i/>
                <w:color w:val="000000" w:themeColor="text1"/>
                <w:sz w:val="20"/>
                <w:szCs w:val="20"/>
                <w:lang w:val="en-US"/>
              </w:rPr>
              <w:t>LL</w:t>
            </w:r>
          </w:p>
          <w:p w14:paraId="48B463B6" w14:textId="77777777"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vertAlign w:val="superscript"/>
                <w:lang w:val="en-US"/>
              </w:rPr>
              <w:t>e</w:t>
            </w:r>
            <w:r w:rsidRPr="00C116D5">
              <w:rPr>
                <w:rFonts w:ascii="Arial" w:eastAsia="Calibri" w:hAnsi="Arial" w:cs="Arial"/>
                <w:color w:val="000000" w:themeColor="text1"/>
                <w:sz w:val="20"/>
                <w:szCs w:val="20"/>
                <w:lang w:val="en-US"/>
              </w:rPr>
              <w:t xml:space="preserve"> PEX vs. Control, </w:t>
            </w:r>
            <w:r w:rsidRPr="003654C8">
              <w:rPr>
                <w:rFonts w:ascii="Arial" w:eastAsia="Calibri" w:hAnsi="Arial" w:cs="Arial"/>
                <w:i/>
                <w:color w:val="000000" w:themeColor="text1"/>
                <w:sz w:val="20"/>
                <w:szCs w:val="20"/>
                <w:lang w:val="en-US"/>
              </w:rPr>
              <w:t>MM</w:t>
            </w:r>
            <w:r w:rsidRPr="00C116D5">
              <w:rPr>
                <w:rFonts w:ascii="Arial" w:eastAsia="Calibri" w:hAnsi="Arial" w:cs="Arial"/>
                <w:color w:val="000000" w:themeColor="text1"/>
                <w:sz w:val="20"/>
                <w:szCs w:val="20"/>
                <w:lang w:val="en-US"/>
              </w:rPr>
              <w:t>+</w:t>
            </w:r>
            <w:r w:rsidRPr="003654C8">
              <w:rPr>
                <w:rFonts w:ascii="Arial" w:eastAsia="Calibri" w:hAnsi="Arial" w:cs="Arial"/>
                <w:i/>
                <w:color w:val="000000" w:themeColor="text1"/>
                <w:sz w:val="20"/>
                <w:szCs w:val="20"/>
                <w:lang w:val="en-US"/>
              </w:rPr>
              <w:t>LM</w:t>
            </w:r>
            <w:r w:rsidRPr="00C116D5">
              <w:rPr>
                <w:rFonts w:ascii="Arial" w:eastAsia="Calibri" w:hAnsi="Arial" w:cs="Arial"/>
                <w:color w:val="000000" w:themeColor="text1"/>
                <w:sz w:val="20"/>
                <w:szCs w:val="20"/>
                <w:lang w:val="en-US"/>
              </w:rPr>
              <w:t xml:space="preserve"> vs. </w:t>
            </w:r>
            <w:r w:rsidRPr="003654C8">
              <w:rPr>
                <w:rFonts w:ascii="Arial" w:eastAsia="Calibri" w:hAnsi="Arial" w:cs="Arial"/>
                <w:i/>
                <w:color w:val="000000" w:themeColor="text1"/>
                <w:sz w:val="20"/>
                <w:szCs w:val="20"/>
                <w:lang w:val="en-US"/>
              </w:rPr>
              <w:t>LL</w:t>
            </w:r>
          </w:p>
          <w:p w14:paraId="4B621921" w14:textId="77777777" w:rsidR="008B5297" w:rsidRPr="00C116D5" w:rsidRDefault="008B5297" w:rsidP="00023145">
            <w:pPr>
              <w:spacing w:after="0" w:line="240" w:lineRule="auto"/>
              <w:rPr>
                <w:rFonts w:ascii="Arial" w:eastAsia="Calibri" w:hAnsi="Arial" w:cs="Arial"/>
                <w:color w:val="000000" w:themeColor="text1"/>
                <w:sz w:val="20"/>
                <w:szCs w:val="20"/>
                <w:vertAlign w:val="superscript"/>
                <w:lang w:val="en-US"/>
              </w:rPr>
            </w:pPr>
            <w:r w:rsidRPr="00C116D5">
              <w:rPr>
                <w:rFonts w:ascii="Arial" w:eastAsia="Calibri" w:hAnsi="Arial" w:cs="Arial"/>
                <w:color w:val="000000" w:themeColor="text1"/>
                <w:sz w:val="20"/>
                <w:szCs w:val="20"/>
                <w:vertAlign w:val="superscript"/>
                <w:lang w:val="en-US"/>
              </w:rPr>
              <w:t xml:space="preserve">f  </w:t>
            </w:r>
            <w:r w:rsidRPr="00C116D5">
              <w:rPr>
                <w:rFonts w:ascii="Arial" w:eastAsia="Calibri" w:hAnsi="Arial" w:cs="Arial"/>
                <w:color w:val="000000" w:themeColor="text1"/>
                <w:sz w:val="20"/>
                <w:szCs w:val="20"/>
                <w:lang w:val="en-US"/>
              </w:rPr>
              <w:t xml:space="preserve">PEG vs. PEX, </w:t>
            </w:r>
            <w:r w:rsidRPr="003654C8">
              <w:rPr>
                <w:rFonts w:ascii="Arial" w:eastAsia="Calibri" w:hAnsi="Arial" w:cs="Arial"/>
                <w:i/>
                <w:color w:val="000000" w:themeColor="text1"/>
                <w:sz w:val="20"/>
                <w:szCs w:val="20"/>
                <w:lang w:val="en-US"/>
              </w:rPr>
              <w:t>MM</w:t>
            </w:r>
            <w:r w:rsidRPr="00C116D5">
              <w:rPr>
                <w:rFonts w:ascii="Arial" w:eastAsia="Calibri" w:hAnsi="Arial" w:cs="Arial"/>
                <w:color w:val="000000" w:themeColor="text1"/>
                <w:sz w:val="20"/>
                <w:szCs w:val="20"/>
                <w:lang w:val="en-US"/>
              </w:rPr>
              <w:t>+</w:t>
            </w:r>
            <w:r w:rsidRPr="003654C8">
              <w:rPr>
                <w:rFonts w:ascii="Arial" w:eastAsia="Calibri" w:hAnsi="Arial" w:cs="Arial"/>
                <w:i/>
                <w:color w:val="000000" w:themeColor="text1"/>
                <w:sz w:val="20"/>
                <w:szCs w:val="20"/>
                <w:lang w:val="en-US"/>
              </w:rPr>
              <w:t>LM</w:t>
            </w:r>
            <w:r w:rsidRPr="00C116D5">
              <w:rPr>
                <w:rFonts w:ascii="Arial" w:eastAsia="Calibri" w:hAnsi="Arial" w:cs="Arial"/>
                <w:color w:val="000000" w:themeColor="text1"/>
                <w:sz w:val="20"/>
                <w:szCs w:val="20"/>
                <w:lang w:val="en-US"/>
              </w:rPr>
              <w:t xml:space="preserve"> vs. </w:t>
            </w:r>
            <w:r w:rsidRPr="003654C8">
              <w:rPr>
                <w:rFonts w:ascii="Arial" w:eastAsia="Calibri" w:hAnsi="Arial" w:cs="Arial"/>
                <w:i/>
                <w:color w:val="000000" w:themeColor="text1"/>
                <w:sz w:val="20"/>
                <w:szCs w:val="20"/>
                <w:lang w:val="en-US"/>
              </w:rPr>
              <w:t>LL</w:t>
            </w:r>
          </w:p>
          <w:p w14:paraId="0D6AE2EE" w14:textId="77777777" w:rsidR="008B5297" w:rsidRPr="00C116D5" w:rsidRDefault="008B5297" w:rsidP="00023145">
            <w:pPr>
              <w:spacing w:after="0" w:line="240" w:lineRule="auto"/>
              <w:rPr>
                <w:rFonts w:ascii="Arial" w:eastAsia="Calibri" w:hAnsi="Arial" w:cs="Arial"/>
                <w:color w:val="000000" w:themeColor="text1"/>
                <w:sz w:val="20"/>
                <w:szCs w:val="20"/>
                <w:vertAlign w:val="superscript"/>
                <w:lang w:val="en-US"/>
              </w:rPr>
            </w:pPr>
            <w:r w:rsidRPr="00C116D5">
              <w:rPr>
                <w:rFonts w:ascii="Arial" w:eastAsia="Calibri" w:hAnsi="Arial" w:cs="Arial"/>
                <w:color w:val="000000" w:themeColor="text1"/>
                <w:sz w:val="20"/>
                <w:szCs w:val="20"/>
                <w:vertAlign w:val="superscript"/>
                <w:lang w:val="en-US"/>
              </w:rPr>
              <w:t>g</w:t>
            </w:r>
            <w:r w:rsidRPr="00C116D5">
              <w:rPr>
                <w:rFonts w:ascii="Arial" w:eastAsia="Calibri" w:hAnsi="Arial" w:cs="Arial"/>
                <w:color w:val="000000" w:themeColor="text1"/>
                <w:sz w:val="20"/>
                <w:szCs w:val="20"/>
                <w:lang w:val="en-US"/>
              </w:rPr>
              <w:t xml:space="preserve"> PEG vs. Control, </w:t>
            </w:r>
            <w:r w:rsidRPr="00C70FD8">
              <w:rPr>
                <w:rFonts w:ascii="Arial" w:eastAsia="Calibri" w:hAnsi="Arial" w:cs="Arial"/>
                <w:i/>
                <w:color w:val="000000" w:themeColor="text1"/>
                <w:sz w:val="20"/>
                <w:szCs w:val="20"/>
                <w:lang w:val="en-US"/>
              </w:rPr>
              <w:t>M</w:t>
            </w:r>
            <w:r w:rsidRPr="00C116D5">
              <w:rPr>
                <w:rFonts w:ascii="Arial" w:eastAsia="Calibri" w:hAnsi="Arial" w:cs="Arial"/>
                <w:color w:val="000000" w:themeColor="text1"/>
                <w:sz w:val="20"/>
                <w:szCs w:val="20"/>
                <w:lang w:val="en-US"/>
              </w:rPr>
              <w:t xml:space="preserve"> vs. </w:t>
            </w:r>
            <w:r w:rsidRPr="00C70FD8">
              <w:rPr>
                <w:rFonts w:ascii="Arial" w:eastAsia="Calibri" w:hAnsi="Arial" w:cs="Arial"/>
                <w:i/>
                <w:color w:val="000000" w:themeColor="text1"/>
                <w:sz w:val="20"/>
                <w:szCs w:val="20"/>
                <w:lang w:val="en-US"/>
              </w:rPr>
              <w:t>L</w:t>
            </w:r>
          </w:p>
          <w:p w14:paraId="58907311" w14:textId="77777777" w:rsidR="008B5297" w:rsidRPr="00C116D5" w:rsidRDefault="008B5297" w:rsidP="00023145">
            <w:pPr>
              <w:spacing w:after="0" w:line="240" w:lineRule="auto"/>
              <w:rPr>
                <w:rFonts w:ascii="Arial" w:eastAsia="Calibri" w:hAnsi="Arial" w:cs="Arial"/>
                <w:color w:val="000000" w:themeColor="text1"/>
                <w:sz w:val="20"/>
                <w:szCs w:val="20"/>
                <w:lang w:val="en-US"/>
              </w:rPr>
            </w:pPr>
            <w:r w:rsidRPr="00C116D5">
              <w:rPr>
                <w:rFonts w:ascii="Arial" w:eastAsia="Calibri" w:hAnsi="Arial" w:cs="Arial"/>
                <w:color w:val="000000" w:themeColor="text1"/>
                <w:sz w:val="20"/>
                <w:szCs w:val="20"/>
                <w:vertAlign w:val="superscript"/>
                <w:lang w:val="en-US"/>
              </w:rPr>
              <w:t>h</w:t>
            </w:r>
            <w:r w:rsidRPr="00C116D5">
              <w:rPr>
                <w:rFonts w:ascii="Arial" w:eastAsia="Calibri" w:hAnsi="Arial" w:cs="Arial"/>
                <w:color w:val="000000" w:themeColor="text1"/>
                <w:sz w:val="20"/>
                <w:szCs w:val="20"/>
                <w:lang w:val="en-US"/>
              </w:rPr>
              <w:t xml:space="preserve"> PEX vs. Control, </w:t>
            </w:r>
            <w:r w:rsidRPr="00C70FD8">
              <w:rPr>
                <w:rFonts w:ascii="Arial" w:eastAsia="Calibri" w:hAnsi="Arial" w:cs="Arial"/>
                <w:i/>
                <w:color w:val="000000" w:themeColor="text1"/>
                <w:sz w:val="20"/>
                <w:szCs w:val="20"/>
                <w:lang w:val="en-US"/>
              </w:rPr>
              <w:t>M</w:t>
            </w:r>
            <w:r w:rsidRPr="00C116D5">
              <w:rPr>
                <w:rFonts w:ascii="Arial" w:eastAsia="Calibri" w:hAnsi="Arial" w:cs="Arial"/>
                <w:color w:val="000000" w:themeColor="text1"/>
                <w:sz w:val="20"/>
                <w:szCs w:val="20"/>
                <w:lang w:val="en-US"/>
              </w:rPr>
              <w:t xml:space="preserve"> vs. </w:t>
            </w:r>
            <w:r w:rsidRPr="00C70FD8">
              <w:rPr>
                <w:rFonts w:ascii="Arial" w:eastAsia="Calibri" w:hAnsi="Arial" w:cs="Arial"/>
                <w:i/>
                <w:color w:val="000000" w:themeColor="text1"/>
                <w:sz w:val="20"/>
                <w:szCs w:val="20"/>
                <w:lang w:val="en-US"/>
              </w:rPr>
              <w:t>L</w:t>
            </w:r>
          </w:p>
          <w:p w14:paraId="389B2C44" w14:textId="77777777" w:rsidR="008B5297" w:rsidRPr="00C116D5" w:rsidRDefault="008B5297" w:rsidP="00023145">
            <w:pPr>
              <w:spacing w:after="0" w:line="240" w:lineRule="auto"/>
              <w:rPr>
                <w:rFonts w:ascii="Arial" w:eastAsia="Calibri" w:hAnsi="Arial" w:cs="Arial"/>
                <w:b/>
                <w:color w:val="000000" w:themeColor="text1"/>
                <w:sz w:val="20"/>
                <w:szCs w:val="20"/>
                <w:lang w:val="en-US"/>
              </w:rPr>
            </w:pPr>
            <w:r w:rsidRPr="00C116D5">
              <w:rPr>
                <w:rFonts w:ascii="Arial" w:eastAsia="Calibri" w:hAnsi="Arial" w:cs="Arial"/>
                <w:color w:val="000000" w:themeColor="text1"/>
                <w:sz w:val="20"/>
                <w:szCs w:val="20"/>
                <w:vertAlign w:val="superscript"/>
                <w:lang w:val="en-US"/>
              </w:rPr>
              <w:t xml:space="preserve">i </w:t>
            </w:r>
            <w:r w:rsidRPr="00C116D5">
              <w:rPr>
                <w:rFonts w:ascii="Arial" w:eastAsia="Calibri" w:hAnsi="Arial" w:cs="Arial"/>
                <w:color w:val="000000" w:themeColor="text1"/>
                <w:sz w:val="20"/>
                <w:szCs w:val="20"/>
                <w:lang w:val="en-US"/>
              </w:rPr>
              <w:t xml:space="preserve"> PEG vs. PEX, </w:t>
            </w:r>
            <w:r w:rsidRPr="00C70FD8">
              <w:rPr>
                <w:rFonts w:ascii="Arial" w:eastAsia="Calibri" w:hAnsi="Arial" w:cs="Arial"/>
                <w:i/>
                <w:color w:val="000000" w:themeColor="text1"/>
                <w:sz w:val="20"/>
                <w:szCs w:val="20"/>
                <w:lang w:val="en-US"/>
              </w:rPr>
              <w:t>M</w:t>
            </w:r>
            <w:r w:rsidRPr="00C116D5">
              <w:rPr>
                <w:rFonts w:ascii="Arial" w:eastAsia="Calibri" w:hAnsi="Arial" w:cs="Arial"/>
                <w:color w:val="000000" w:themeColor="text1"/>
                <w:sz w:val="20"/>
                <w:szCs w:val="20"/>
                <w:lang w:val="en-US"/>
              </w:rPr>
              <w:t xml:space="preserve"> vs. </w:t>
            </w:r>
            <w:r w:rsidRPr="00C70FD8">
              <w:rPr>
                <w:rFonts w:ascii="Arial" w:eastAsia="Calibri" w:hAnsi="Arial" w:cs="Arial"/>
                <w:i/>
                <w:color w:val="000000" w:themeColor="text1"/>
                <w:sz w:val="20"/>
                <w:szCs w:val="20"/>
                <w:lang w:val="en-US"/>
              </w:rPr>
              <w:t>L</w:t>
            </w:r>
          </w:p>
        </w:tc>
      </w:tr>
    </w:tbl>
    <w:p w14:paraId="3322B61C" w14:textId="77777777" w:rsidR="008B5297" w:rsidRDefault="008B5297" w:rsidP="008B5297">
      <w:pPr>
        <w:rPr>
          <w:rFonts w:ascii="Arial" w:hAnsi="Arial" w:cs="Arial"/>
          <w:lang w:val="en-US" w:bidi="en-US"/>
        </w:rPr>
      </w:pPr>
    </w:p>
    <w:p w14:paraId="55B11AA6" w14:textId="77777777" w:rsidR="008B5297" w:rsidRDefault="008B5297" w:rsidP="008B5297">
      <w:pPr>
        <w:rPr>
          <w:rFonts w:ascii="Arial" w:hAnsi="Arial" w:cs="Arial"/>
          <w:lang w:val="en-US" w:bidi="en-US"/>
        </w:rPr>
      </w:pPr>
    </w:p>
    <w:p w14:paraId="18010543" w14:textId="505101D0" w:rsidR="008B5297" w:rsidRPr="00C116D5" w:rsidRDefault="008B5297" w:rsidP="008B5297">
      <w:pPr>
        <w:rPr>
          <w:rFonts w:ascii="Arial" w:hAnsi="Arial" w:cs="Arial"/>
          <w:lang w:val="en-US"/>
        </w:rPr>
      </w:pPr>
      <w:proofErr w:type="gramStart"/>
      <w:r w:rsidRPr="00C116D5">
        <w:rPr>
          <w:rFonts w:ascii="Arial" w:hAnsi="Arial" w:cs="Arial"/>
          <w:b/>
          <w:lang w:val="en-US"/>
        </w:rPr>
        <w:lastRenderedPageBreak/>
        <w:t xml:space="preserve">Table </w:t>
      </w:r>
      <w:r>
        <w:rPr>
          <w:rFonts w:ascii="Arial" w:hAnsi="Arial" w:cs="Arial"/>
          <w:b/>
          <w:lang w:val="en-US"/>
        </w:rPr>
        <w:t>5</w:t>
      </w:r>
      <w:r w:rsidRPr="00C116D5">
        <w:rPr>
          <w:rFonts w:ascii="Arial" w:hAnsi="Arial" w:cs="Arial"/>
          <w:lang w:val="en-US"/>
        </w:rPr>
        <w:t>.</w:t>
      </w:r>
      <w:proofErr w:type="gramEnd"/>
      <w:r w:rsidRPr="00C116D5">
        <w:rPr>
          <w:rFonts w:ascii="Arial" w:hAnsi="Arial" w:cs="Arial"/>
          <w:lang w:val="en-US"/>
        </w:rPr>
        <w:t xml:space="preserve"> Stratification of visual clinical characteristics of PEG, PEX and control groups with respect to </w:t>
      </w:r>
      <w:r w:rsidRPr="00897747">
        <w:rPr>
          <w:rFonts w:ascii="Arial" w:hAnsi="Arial" w:cs="Arial"/>
          <w:i/>
          <w:lang w:val="en-US"/>
        </w:rPr>
        <w:t>PON1</w:t>
      </w:r>
      <w:r w:rsidRPr="00C116D5">
        <w:rPr>
          <w:rFonts w:ascii="Arial" w:hAnsi="Arial" w:cs="Arial"/>
          <w:lang w:val="en-US"/>
        </w:rPr>
        <w:t xml:space="preserve"> </w:t>
      </w:r>
      <w:r w:rsidRPr="003654C8">
        <w:rPr>
          <w:rFonts w:ascii="Arial" w:hAnsi="Arial" w:cs="Arial"/>
          <w:i/>
          <w:lang w:val="en-US"/>
        </w:rPr>
        <w:t>−107T/C</w:t>
      </w:r>
      <w:r w:rsidRPr="00C116D5">
        <w:rPr>
          <w:rFonts w:ascii="Arial" w:hAnsi="Arial" w:cs="Arial"/>
          <w:lang w:val="en-US"/>
        </w:rPr>
        <w:t xml:space="preserve"> genotypes </w:t>
      </w:r>
    </w:p>
    <w:tbl>
      <w:tblPr>
        <w:tblStyle w:val="TabloKlavuzu"/>
        <w:tblW w:w="0" w:type="auto"/>
        <w:tblLook w:val="04A0" w:firstRow="1" w:lastRow="0" w:firstColumn="1" w:lastColumn="0" w:noHBand="0" w:noVBand="1"/>
      </w:tblPr>
      <w:tblGrid>
        <w:gridCol w:w="2122"/>
        <w:gridCol w:w="1417"/>
        <w:gridCol w:w="2268"/>
        <w:gridCol w:w="2268"/>
        <w:gridCol w:w="2048"/>
        <w:gridCol w:w="1148"/>
      </w:tblGrid>
      <w:tr w:rsidR="008B5297" w:rsidRPr="00C116D5" w14:paraId="7397B061" w14:textId="77777777" w:rsidTr="00023145">
        <w:tc>
          <w:tcPr>
            <w:tcW w:w="2122" w:type="dxa"/>
          </w:tcPr>
          <w:p w14:paraId="7A33A97D"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Clinical characteristic</w:t>
            </w:r>
          </w:p>
        </w:tc>
        <w:tc>
          <w:tcPr>
            <w:tcW w:w="1417" w:type="dxa"/>
          </w:tcPr>
          <w:p w14:paraId="2AFA0B8F" w14:textId="77777777" w:rsidR="008B5297" w:rsidRPr="00C116D5" w:rsidRDefault="008B5297" w:rsidP="00023145">
            <w:pPr>
              <w:rPr>
                <w:rFonts w:ascii="Arial" w:hAnsi="Arial" w:cs="Arial"/>
                <w:b/>
                <w:sz w:val="20"/>
                <w:szCs w:val="20"/>
                <w:lang w:val="en-US"/>
              </w:rPr>
            </w:pPr>
            <w:r w:rsidRPr="003654C8">
              <w:rPr>
                <w:rFonts w:ascii="Arial" w:hAnsi="Arial" w:cs="Arial"/>
                <w:b/>
                <w:i/>
                <w:sz w:val="20"/>
                <w:szCs w:val="20"/>
                <w:lang w:val="en-US"/>
              </w:rPr>
              <w:t>−107T/C</w:t>
            </w:r>
            <w:r w:rsidRPr="00C116D5">
              <w:rPr>
                <w:rFonts w:ascii="Arial" w:hAnsi="Arial" w:cs="Arial"/>
                <w:b/>
                <w:sz w:val="20"/>
                <w:szCs w:val="20"/>
                <w:lang w:val="en-US"/>
              </w:rPr>
              <w:t xml:space="preserve"> Genotype</w:t>
            </w:r>
          </w:p>
        </w:tc>
        <w:tc>
          <w:tcPr>
            <w:tcW w:w="2268" w:type="dxa"/>
          </w:tcPr>
          <w:p w14:paraId="559A3D32"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 xml:space="preserve">PEG </w:t>
            </w:r>
          </w:p>
        </w:tc>
        <w:tc>
          <w:tcPr>
            <w:tcW w:w="2268" w:type="dxa"/>
          </w:tcPr>
          <w:p w14:paraId="192A959C"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 xml:space="preserve">PEX </w:t>
            </w:r>
          </w:p>
        </w:tc>
        <w:tc>
          <w:tcPr>
            <w:tcW w:w="2048" w:type="dxa"/>
          </w:tcPr>
          <w:p w14:paraId="11BA5179"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Control</w:t>
            </w:r>
          </w:p>
        </w:tc>
        <w:tc>
          <w:tcPr>
            <w:tcW w:w="1148" w:type="dxa"/>
          </w:tcPr>
          <w:p w14:paraId="33D45398"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P</w:t>
            </w:r>
          </w:p>
        </w:tc>
      </w:tr>
      <w:tr w:rsidR="008B5297" w:rsidRPr="00C116D5" w14:paraId="046D04F4" w14:textId="77777777" w:rsidTr="00023145">
        <w:trPr>
          <w:trHeight w:val="470"/>
        </w:trPr>
        <w:tc>
          <w:tcPr>
            <w:tcW w:w="2122" w:type="dxa"/>
            <w:vMerge w:val="restart"/>
            <w:vAlign w:val="center"/>
          </w:tcPr>
          <w:p w14:paraId="1D5661FE"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IOP (</w:t>
            </w:r>
            <w:r w:rsidRPr="00A038F3">
              <w:rPr>
                <w:rFonts w:ascii="Arial" w:hAnsi="Arial" w:cs="Arial"/>
                <w:b/>
                <w:sz w:val="20"/>
                <w:szCs w:val="20"/>
                <w:lang w:val="en-US"/>
              </w:rPr>
              <w:t>mm</w:t>
            </w:r>
            <w:r w:rsidRPr="00C116D5">
              <w:rPr>
                <w:rFonts w:ascii="Arial" w:hAnsi="Arial" w:cs="Arial"/>
                <w:b/>
                <w:sz w:val="20"/>
                <w:szCs w:val="20"/>
                <w:lang w:val="en-US"/>
              </w:rPr>
              <w:t>Hg)</w:t>
            </w:r>
          </w:p>
        </w:tc>
        <w:tc>
          <w:tcPr>
            <w:tcW w:w="1417" w:type="dxa"/>
            <w:vAlign w:val="center"/>
          </w:tcPr>
          <w:p w14:paraId="15F9FE5B"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TT</w:t>
            </w:r>
          </w:p>
        </w:tc>
        <w:tc>
          <w:tcPr>
            <w:tcW w:w="2268" w:type="dxa"/>
            <w:vAlign w:val="center"/>
          </w:tcPr>
          <w:p w14:paraId="329F9B9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21.2 ± 4.9</w:t>
            </w:r>
          </w:p>
          <w:p w14:paraId="301FA72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 (18.0 – 25.0)</w:t>
            </w:r>
          </w:p>
        </w:tc>
        <w:tc>
          <w:tcPr>
            <w:tcW w:w="2268" w:type="dxa"/>
            <w:vAlign w:val="center"/>
          </w:tcPr>
          <w:p w14:paraId="495B38D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19.6 ± 4.8</w:t>
            </w:r>
          </w:p>
          <w:p w14:paraId="4BA13FA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(16.0 – 23.0)</w:t>
            </w:r>
          </w:p>
        </w:tc>
        <w:tc>
          <w:tcPr>
            <w:tcW w:w="2048" w:type="dxa"/>
            <w:vAlign w:val="center"/>
          </w:tcPr>
          <w:p w14:paraId="041349C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19.1 ± 6.3</w:t>
            </w:r>
          </w:p>
          <w:p w14:paraId="7301160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(14.0 – 22.0)</w:t>
            </w:r>
          </w:p>
        </w:tc>
        <w:tc>
          <w:tcPr>
            <w:tcW w:w="1148" w:type="dxa"/>
          </w:tcPr>
          <w:p w14:paraId="0BB7DF9F"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0.051</w:t>
            </w:r>
            <w:r w:rsidRPr="00C116D5">
              <w:rPr>
                <w:rFonts w:ascii="Arial" w:hAnsi="Arial" w:cs="Arial"/>
                <w:sz w:val="20"/>
                <w:szCs w:val="20"/>
                <w:vertAlign w:val="superscript"/>
                <w:lang w:val="en-US"/>
              </w:rPr>
              <w:t>a</w:t>
            </w:r>
          </w:p>
          <w:p w14:paraId="280A83A5"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0.016</w:t>
            </w:r>
            <w:r w:rsidRPr="00C116D5">
              <w:rPr>
                <w:rFonts w:ascii="Arial" w:hAnsi="Arial" w:cs="Arial"/>
                <w:sz w:val="20"/>
                <w:szCs w:val="20"/>
                <w:vertAlign w:val="superscript"/>
                <w:lang w:val="en-US"/>
              </w:rPr>
              <w:t>b</w:t>
            </w:r>
          </w:p>
          <w:p w14:paraId="3669233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0.335</w:t>
            </w:r>
            <w:r w:rsidRPr="00C116D5">
              <w:rPr>
                <w:rFonts w:ascii="Arial" w:hAnsi="Arial" w:cs="Arial"/>
                <w:sz w:val="20"/>
                <w:szCs w:val="20"/>
                <w:vertAlign w:val="superscript"/>
                <w:lang w:val="en-US"/>
              </w:rPr>
              <w:t>c</w:t>
            </w:r>
          </w:p>
          <w:p w14:paraId="7A78B963"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0.100</w:t>
            </w:r>
            <w:r w:rsidRPr="00C116D5">
              <w:rPr>
                <w:rFonts w:ascii="Arial" w:hAnsi="Arial" w:cs="Arial"/>
                <w:sz w:val="20"/>
                <w:szCs w:val="20"/>
                <w:vertAlign w:val="superscript"/>
                <w:lang w:val="en-US"/>
              </w:rPr>
              <w:t>d</w:t>
            </w:r>
          </w:p>
        </w:tc>
      </w:tr>
      <w:tr w:rsidR="008B5297" w:rsidRPr="00C116D5" w14:paraId="2815566A" w14:textId="77777777" w:rsidTr="00023145">
        <w:trPr>
          <w:trHeight w:val="690"/>
        </w:trPr>
        <w:tc>
          <w:tcPr>
            <w:tcW w:w="2122" w:type="dxa"/>
            <w:vMerge/>
            <w:vAlign w:val="center"/>
          </w:tcPr>
          <w:p w14:paraId="6563AD06" w14:textId="77777777" w:rsidR="008B5297" w:rsidRPr="00C116D5" w:rsidRDefault="008B5297" w:rsidP="00023145">
            <w:pPr>
              <w:rPr>
                <w:rFonts w:ascii="Arial" w:hAnsi="Arial" w:cs="Arial"/>
                <w:b/>
                <w:sz w:val="20"/>
                <w:szCs w:val="20"/>
                <w:lang w:val="en-US"/>
              </w:rPr>
            </w:pPr>
          </w:p>
        </w:tc>
        <w:tc>
          <w:tcPr>
            <w:tcW w:w="1417" w:type="dxa"/>
            <w:vAlign w:val="center"/>
          </w:tcPr>
          <w:p w14:paraId="3BF1BBB6"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TC</w:t>
            </w:r>
            <w:r w:rsidRPr="00C116D5">
              <w:rPr>
                <w:rFonts w:ascii="Arial" w:hAnsi="Arial" w:cs="Arial"/>
                <w:sz w:val="20"/>
                <w:szCs w:val="20"/>
                <w:lang w:val="en-US"/>
              </w:rPr>
              <w:t xml:space="preserve"> + </w:t>
            </w:r>
            <w:r w:rsidRPr="003654C8">
              <w:rPr>
                <w:rFonts w:ascii="Arial" w:hAnsi="Arial" w:cs="Arial"/>
                <w:i/>
                <w:sz w:val="20"/>
                <w:szCs w:val="20"/>
                <w:lang w:val="en-US"/>
              </w:rPr>
              <w:t>CC</w:t>
            </w:r>
            <w:r w:rsidRPr="00C116D5">
              <w:rPr>
                <w:rFonts w:ascii="Arial" w:hAnsi="Arial" w:cs="Arial"/>
                <w:sz w:val="20"/>
                <w:szCs w:val="20"/>
                <w:lang w:val="en-US"/>
              </w:rPr>
              <w:t xml:space="preserve"> </w:t>
            </w:r>
          </w:p>
        </w:tc>
        <w:tc>
          <w:tcPr>
            <w:tcW w:w="2268" w:type="dxa"/>
            <w:vAlign w:val="center"/>
          </w:tcPr>
          <w:p w14:paraId="43BB0A9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21.8 ± 5.0</w:t>
            </w:r>
          </w:p>
          <w:p w14:paraId="7992E62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21.0 (18.0 – 24.0)</w:t>
            </w:r>
          </w:p>
        </w:tc>
        <w:tc>
          <w:tcPr>
            <w:tcW w:w="2268" w:type="dxa"/>
            <w:vAlign w:val="center"/>
          </w:tcPr>
          <w:p w14:paraId="13952E9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19.1 ± 5.6</w:t>
            </w:r>
          </w:p>
          <w:p w14:paraId="5D28C2B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(15.0 – 22.0)</w:t>
            </w:r>
          </w:p>
        </w:tc>
        <w:tc>
          <w:tcPr>
            <w:tcW w:w="2048" w:type="dxa"/>
            <w:vAlign w:val="center"/>
          </w:tcPr>
          <w:p w14:paraId="7FC22C2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20.1 ± 5.8</w:t>
            </w:r>
          </w:p>
          <w:p w14:paraId="5725FB2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19.0 (16.0 – 24.0)</w:t>
            </w:r>
          </w:p>
        </w:tc>
        <w:tc>
          <w:tcPr>
            <w:tcW w:w="1148" w:type="dxa"/>
          </w:tcPr>
          <w:p w14:paraId="6720557D"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0.001</w:t>
            </w:r>
            <w:r w:rsidRPr="00C116D5">
              <w:rPr>
                <w:rFonts w:ascii="Arial" w:hAnsi="Arial" w:cs="Arial"/>
                <w:sz w:val="20"/>
                <w:szCs w:val="20"/>
                <w:vertAlign w:val="superscript"/>
                <w:lang w:val="en-US"/>
              </w:rPr>
              <w:t>a</w:t>
            </w:r>
          </w:p>
          <w:p w14:paraId="5E7C8C34"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0.011</w:t>
            </w:r>
            <w:r w:rsidRPr="00C116D5">
              <w:rPr>
                <w:rFonts w:ascii="Arial" w:hAnsi="Arial" w:cs="Arial"/>
                <w:sz w:val="20"/>
                <w:szCs w:val="20"/>
                <w:vertAlign w:val="superscript"/>
                <w:lang w:val="en-US"/>
              </w:rPr>
              <w:t>b</w:t>
            </w:r>
          </w:p>
          <w:p w14:paraId="6B1B810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0.168</w:t>
            </w:r>
            <w:r w:rsidRPr="00C116D5">
              <w:rPr>
                <w:rFonts w:ascii="Arial" w:hAnsi="Arial" w:cs="Arial"/>
                <w:sz w:val="20"/>
                <w:szCs w:val="20"/>
                <w:vertAlign w:val="superscript"/>
                <w:lang w:val="en-US"/>
              </w:rPr>
              <w:t>c</w:t>
            </w:r>
          </w:p>
          <w:p w14:paraId="1931D71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2BD2C3BC" w14:textId="77777777" w:rsidTr="00023145">
        <w:tc>
          <w:tcPr>
            <w:tcW w:w="2122" w:type="dxa"/>
            <w:vMerge/>
            <w:vAlign w:val="center"/>
          </w:tcPr>
          <w:p w14:paraId="55A0D7CE" w14:textId="77777777" w:rsidR="008B5297" w:rsidRPr="00C116D5" w:rsidRDefault="008B5297" w:rsidP="00023145">
            <w:pPr>
              <w:rPr>
                <w:rFonts w:ascii="Arial" w:hAnsi="Arial" w:cs="Arial"/>
                <w:b/>
                <w:sz w:val="20"/>
                <w:szCs w:val="20"/>
                <w:lang w:val="en-US"/>
              </w:rPr>
            </w:pPr>
          </w:p>
        </w:tc>
        <w:tc>
          <w:tcPr>
            <w:tcW w:w="1417" w:type="dxa"/>
            <w:tcBorders>
              <w:bottom w:val="single" w:sz="4" w:space="0" w:color="auto"/>
            </w:tcBorders>
            <w:vAlign w:val="center"/>
          </w:tcPr>
          <w:p w14:paraId="1683D5A0"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2268" w:type="dxa"/>
            <w:tcBorders>
              <w:bottom w:val="single" w:sz="4" w:space="0" w:color="auto"/>
            </w:tcBorders>
          </w:tcPr>
          <w:p w14:paraId="5AA7222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0.654</w:t>
            </w:r>
          </w:p>
        </w:tc>
        <w:tc>
          <w:tcPr>
            <w:tcW w:w="2268" w:type="dxa"/>
            <w:tcBorders>
              <w:bottom w:val="single" w:sz="4" w:space="0" w:color="auto"/>
            </w:tcBorders>
          </w:tcPr>
          <w:p w14:paraId="58D639D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0.335</w:t>
            </w:r>
          </w:p>
        </w:tc>
        <w:tc>
          <w:tcPr>
            <w:tcW w:w="2048" w:type="dxa"/>
            <w:tcBorders>
              <w:bottom w:val="single" w:sz="4" w:space="0" w:color="auto"/>
            </w:tcBorders>
          </w:tcPr>
          <w:p w14:paraId="2D76AB4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0.172</w:t>
            </w:r>
          </w:p>
        </w:tc>
        <w:tc>
          <w:tcPr>
            <w:tcW w:w="1148" w:type="dxa"/>
            <w:tcBorders>
              <w:bottom w:val="single" w:sz="4" w:space="0" w:color="auto"/>
            </w:tcBorders>
          </w:tcPr>
          <w:p w14:paraId="3C949988" w14:textId="77777777" w:rsidR="008B5297" w:rsidRPr="00C116D5" w:rsidRDefault="008B5297" w:rsidP="00023145">
            <w:pPr>
              <w:jc w:val="center"/>
              <w:rPr>
                <w:rFonts w:ascii="Arial" w:hAnsi="Arial" w:cs="Arial"/>
                <w:sz w:val="20"/>
                <w:szCs w:val="20"/>
                <w:lang w:val="en-US"/>
              </w:rPr>
            </w:pPr>
          </w:p>
        </w:tc>
      </w:tr>
      <w:tr w:rsidR="008B5297" w:rsidRPr="00C116D5" w14:paraId="3FC7C549" w14:textId="77777777" w:rsidTr="00023145">
        <w:tc>
          <w:tcPr>
            <w:tcW w:w="2122" w:type="dxa"/>
            <w:shd w:val="clear" w:color="auto" w:fill="A6A6A6" w:themeFill="background1" w:themeFillShade="A6"/>
            <w:vAlign w:val="center"/>
          </w:tcPr>
          <w:p w14:paraId="4FABC828" w14:textId="77777777" w:rsidR="008B5297" w:rsidRPr="00C116D5" w:rsidRDefault="008B5297" w:rsidP="00023145">
            <w:pPr>
              <w:rPr>
                <w:rFonts w:ascii="Arial" w:hAnsi="Arial" w:cs="Arial"/>
                <w:b/>
                <w:sz w:val="20"/>
                <w:szCs w:val="20"/>
                <w:lang w:val="en-US"/>
              </w:rPr>
            </w:pPr>
          </w:p>
        </w:tc>
        <w:tc>
          <w:tcPr>
            <w:tcW w:w="1417" w:type="dxa"/>
            <w:shd w:val="clear" w:color="auto" w:fill="A6A6A6" w:themeFill="background1" w:themeFillShade="A6"/>
            <w:vAlign w:val="center"/>
          </w:tcPr>
          <w:p w14:paraId="0C2A7D9A" w14:textId="77777777" w:rsidR="008B5297" w:rsidRPr="00C116D5" w:rsidRDefault="008B5297" w:rsidP="00023145">
            <w:pPr>
              <w:rPr>
                <w:rFonts w:ascii="Arial" w:hAnsi="Arial" w:cs="Arial"/>
                <w:sz w:val="20"/>
                <w:szCs w:val="20"/>
                <w:lang w:val="en-US"/>
              </w:rPr>
            </w:pPr>
          </w:p>
        </w:tc>
        <w:tc>
          <w:tcPr>
            <w:tcW w:w="2268" w:type="dxa"/>
            <w:shd w:val="clear" w:color="auto" w:fill="A6A6A6" w:themeFill="background1" w:themeFillShade="A6"/>
          </w:tcPr>
          <w:p w14:paraId="552132F8" w14:textId="77777777" w:rsidR="008B5297" w:rsidRPr="00C116D5" w:rsidRDefault="008B5297" w:rsidP="00023145">
            <w:pPr>
              <w:jc w:val="center"/>
              <w:rPr>
                <w:rFonts w:ascii="Arial" w:hAnsi="Arial" w:cs="Arial"/>
                <w:sz w:val="20"/>
                <w:szCs w:val="20"/>
                <w:lang w:val="en-US"/>
              </w:rPr>
            </w:pPr>
          </w:p>
        </w:tc>
        <w:tc>
          <w:tcPr>
            <w:tcW w:w="2268" w:type="dxa"/>
            <w:shd w:val="clear" w:color="auto" w:fill="A6A6A6" w:themeFill="background1" w:themeFillShade="A6"/>
          </w:tcPr>
          <w:p w14:paraId="75AD2C82" w14:textId="77777777" w:rsidR="008B5297" w:rsidRPr="00C116D5" w:rsidRDefault="008B5297" w:rsidP="00023145">
            <w:pPr>
              <w:jc w:val="center"/>
              <w:rPr>
                <w:rFonts w:ascii="Arial" w:hAnsi="Arial" w:cs="Arial"/>
                <w:sz w:val="20"/>
                <w:szCs w:val="20"/>
                <w:lang w:val="en-US"/>
              </w:rPr>
            </w:pPr>
          </w:p>
        </w:tc>
        <w:tc>
          <w:tcPr>
            <w:tcW w:w="2048" w:type="dxa"/>
            <w:shd w:val="clear" w:color="auto" w:fill="A6A6A6" w:themeFill="background1" w:themeFillShade="A6"/>
          </w:tcPr>
          <w:p w14:paraId="0F915DF5" w14:textId="77777777" w:rsidR="008B5297" w:rsidRPr="00C116D5" w:rsidRDefault="008B5297" w:rsidP="00023145">
            <w:pPr>
              <w:jc w:val="center"/>
              <w:rPr>
                <w:rFonts w:ascii="Arial" w:hAnsi="Arial" w:cs="Arial"/>
                <w:sz w:val="20"/>
                <w:szCs w:val="20"/>
                <w:lang w:val="en-US"/>
              </w:rPr>
            </w:pPr>
          </w:p>
        </w:tc>
        <w:tc>
          <w:tcPr>
            <w:tcW w:w="1148" w:type="dxa"/>
            <w:shd w:val="clear" w:color="auto" w:fill="A6A6A6" w:themeFill="background1" w:themeFillShade="A6"/>
          </w:tcPr>
          <w:p w14:paraId="56CE34AD" w14:textId="77777777" w:rsidR="008B5297" w:rsidRPr="00C116D5" w:rsidRDefault="008B5297" w:rsidP="00023145">
            <w:pPr>
              <w:jc w:val="center"/>
              <w:rPr>
                <w:rFonts w:ascii="Arial" w:hAnsi="Arial" w:cs="Arial"/>
                <w:sz w:val="20"/>
                <w:szCs w:val="20"/>
                <w:lang w:val="en-US"/>
              </w:rPr>
            </w:pPr>
          </w:p>
        </w:tc>
      </w:tr>
      <w:tr w:rsidR="008B5297" w:rsidRPr="00C116D5" w14:paraId="557ABBD8" w14:textId="77777777" w:rsidTr="00023145">
        <w:trPr>
          <w:trHeight w:val="690"/>
        </w:trPr>
        <w:tc>
          <w:tcPr>
            <w:tcW w:w="2122" w:type="dxa"/>
            <w:vMerge w:val="restart"/>
            <w:vAlign w:val="center"/>
          </w:tcPr>
          <w:p w14:paraId="6DE865B2" w14:textId="77777777" w:rsidR="008B5297" w:rsidRPr="00C116D5" w:rsidRDefault="008B5297" w:rsidP="00023145">
            <w:pPr>
              <w:rPr>
                <w:rFonts w:ascii="Arial" w:hAnsi="Arial" w:cs="Arial"/>
                <w:b/>
                <w:sz w:val="20"/>
                <w:szCs w:val="20"/>
                <w:lang w:val="en-US"/>
              </w:rPr>
            </w:pPr>
            <w:r>
              <w:rPr>
                <w:rFonts w:ascii="Arial" w:hAnsi="Arial" w:cs="Arial"/>
                <w:b/>
                <w:sz w:val="20"/>
                <w:szCs w:val="20"/>
                <w:lang w:val="en-US"/>
              </w:rPr>
              <w:t>VFS</w:t>
            </w:r>
            <w:r w:rsidRPr="00C116D5">
              <w:rPr>
                <w:rFonts w:ascii="Arial" w:hAnsi="Arial" w:cs="Arial"/>
                <w:b/>
                <w:sz w:val="20"/>
                <w:szCs w:val="20"/>
                <w:lang w:val="en-US"/>
              </w:rPr>
              <w:t xml:space="preserve"> </w:t>
            </w:r>
          </w:p>
        </w:tc>
        <w:tc>
          <w:tcPr>
            <w:tcW w:w="1417" w:type="dxa"/>
            <w:vAlign w:val="center"/>
          </w:tcPr>
          <w:p w14:paraId="07925840"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TT</w:t>
            </w:r>
          </w:p>
        </w:tc>
        <w:tc>
          <w:tcPr>
            <w:tcW w:w="2268" w:type="dxa"/>
            <w:vAlign w:val="center"/>
          </w:tcPr>
          <w:p w14:paraId="1450490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2.5 ± 0.8</w:t>
            </w:r>
          </w:p>
          <w:p w14:paraId="670E206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 (2.0 – 3.0)</w:t>
            </w:r>
          </w:p>
        </w:tc>
        <w:tc>
          <w:tcPr>
            <w:tcW w:w="2268" w:type="dxa"/>
            <w:vAlign w:val="center"/>
          </w:tcPr>
          <w:p w14:paraId="23FD01B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3C382A4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2048" w:type="dxa"/>
            <w:vAlign w:val="center"/>
          </w:tcPr>
          <w:p w14:paraId="51BA498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 xml:space="preserve">1.0 ± 0.0 </w:t>
            </w:r>
          </w:p>
          <w:p w14:paraId="72A4475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1148" w:type="dxa"/>
          </w:tcPr>
          <w:p w14:paraId="2351B963"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1141CA48"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23F9F24B"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c</w:t>
            </w:r>
          </w:p>
          <w:p w14:paraId="46D0DB5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5921041B" w14:textId="77777777" w:rsidTr="00023145">
        <w:trPr>
          <w:trHeight w:val="690"/>
        </w:trPr>
        <w:tc>
          <w:tcPr>
            <w:tcW w:w="2122" w:type="dxa"/>
            <w:vMerge/>
            <w:vAlign w:val="center"/>
          </w:tcPr>
          <w:p w14:paraId="60852C40" w14:textId="77777777" w:rsidR="008B5297" w:rsidRPr="00C116D5" w:rsidRDefault="008B5297" w:rsidP="00023145">
            <w:pPr>
              <w:rPr>
                <w:rFonts w:ascii="Arial" w:hAnsi="Arial" w:cs="Arial"/>
                <w:b/>
                <w:sz w:val="20"/>
                <w:szCs w:val="20"/>
                <w:lang w:val="en-US"/>
              </w:rPr>
            </w:pPr>
          </w:p>
        </w:tc>
        <w:tc>
          <w:tcPr>
            <w:tcW w:w="1417" w:type="dxa"/>
            <w:vAlign w:val="center"/>
          </w:tcPr>
          <w:p w14:paraId="6FFF8AD5"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TC</w:t>
            </w:r>
            <w:r w:rsidRPr="00C116D5">
              <w:rPr>
                <w:rFonts w:ascii="Arial" w:hAnsi="Arial" w:cs="Arial"/>
                <w:sz w:val="20"/>
                <w:szCs w:val="20"/>
                <w:lang w:val="en-US"/>
              </w:rPr>
              <w:t xml:space="preserve"> + </w:t>
            </w:r>
            <w:r w:rsidRPr="003654C8">
              <w:rPr>
                <w:rFonts w:ascii="Arial" w:hAnsi="Arial" w:cs="Arial"/>
                <w:i/>
                <w:sz w:val="20"/>
                <w:szCs w:val="20"/>
                <w:lang w:val="en-US"/>
              </w:rPr>
              <w:t>CC</w:t>
            </w:r>
            <w:r w:rsidRPr="00C116D5">
              <w:rPr>
                <w:rFonts w:ascii="Arial" w:hAnsi="Arial" w:cs="Arial"/>
                <w:sz w:val="20"/>
                <w:szCs w:val="20"/>
                <w:lang w:val="en-US"/>
              </w:rPr>
              <w:t xml:space="preserve"> </w:t>
            </w:r>
          </w:p>
        </w:tc>
        <w:tc>
          <w:tcPr>
            <w:tcW w:w="2268" w:type="dxa"/>
            <w:vAlign w:val="center"/>
          </w:tcPr>
          <w:p w14:paraId="397E09B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2.7 ± 0.8</w:t>
            </w:r>
          </w:p>
          <w:p w14:paraId="3346659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 (2.0 – 3.0)</w:t>
            </w:r>
          </w:p>
        </w:tc>
        <w:tc>
          <w:tcPr>
            <w:tcW w:w="2268" w:type="dxa"/>
            <w:vAlign w:val="center"/>
          </w:tcPr>
          <w:p w14:paraId="2EB4956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60D506D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2048" w:type="dxa"/>
            <w:vAlign w:val="center"/>
          </w:tcPr>
          <w:p w14:paraId="6774E95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0B29342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1148" w:type="dxa"/>
          </w:tcPr>
          <w:p w14:paraId="46C3A6AC"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5ADDE5C8"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0DC5069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c</w:t>
            </w:r>
          </w:p>
          <w:p w14:paraId="5A99CB8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2FBFA97A" w14:textId="77777777" w:rsidTr="00023145">
        <w:tc>
          <w:tcPr>
            <w:tcW w:w="2122" w:type="dxa"/>
            <w:vMerge/>
            <w:vAlign w:val="center"/>
          </w:tcPr>
          <w:p w14:paraId="62A75D64" w14:textId="77777777" w:rsidR="008B5297" w:rsidRPr="00C116D5" w:rsidRDefault="008B5297" w:rsidP="00023145">
            <w:pPr>
              <w:rPr>
                <w:rFonts w:ascii="Arial" w:hAnsi="Arial" w:cs="Arial"/>
                <w:b/>
                <w:sz w:val="20"/>
                <w:szCs w:val="20"/>
                <w:lang w:val="en-US"/>
              </w:rPr>
            </w:pPr>
          </w:p>
        </w:tc>
        <w:tc>
          <w:tcPr>
            <w:tcW w:w="1417" w:type="dxa"/>
            <w:vAlign w:val="center"/>
          </w:tcPr>
          <w:p w14:paraId="49B6C083"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2268" w:type="dxa"/>
          </w:tcPr>
          <w:p w14:paraId="03042CB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0.275</w:t>
            </w:r>
          </w:p>
        </w:tc>
        <w:tc>
          <w:tcPr>
            <w:tcW w:w="2268" w:type="dxa"/>
          </w:tcPr>
          <w:p w14:paraId="523555F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1.000</w:t>
            </w:r>
          </w:p>
        </w:tc>
        <w:tc>
          <w:tcPr>
            <w:tcW w:w="2048" w:type="dxa"/>
          </w:tcPr>
          <w:p w14:paraId="633059A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1.000</w:t>
            </w:r>
          </w:p>
        </w:tc>
        <w:tc>
          <w:tcPr>
            <w:tcW w:w="1148" w:type="dxa"/>
          </w:tcPr>
          <w:p w14:paraId="50ED0402" w14:textId="77777777" w:rsidR="008B5297" w:rsidRPr="00C116D5" w:rsidRDefault="008B5297" w:rsidP="00023145">
            <w:pPr>
              <w:jc w:val="center"/>
              <w:rPr>
                <w:rFonts w:ascii="Arial" w:hAnsi="Arial" w:cs="Arial"/>
                <w:sz w:val="20"/>
                <w:szCs w:val="20"/>
                <w:lang w:val="en-US"/>
              </w:rPr>
            </w:pPr>
          </w:p>
        </w:tc>
      </w:tr>
      <w:tr w:rsidR="008B5297" w:rsidRPr="00C116D5" w14:paraId="400A0600" w14:textId="77777777" w:rsidTr="00023145">
        <w:tc>
          <w:tcPr>
            <w:tcW w:w="2122" w:type="dxa"/>
            <w:shd w:val="clear" w:color="auto" w:fill="A6A6A6" w:themeFill="background1" w:themeFillShade="A6"/>
            <w:vAlign w:val="center"/>
          </w:tcPr>
          <w:p w14:paraId="66D5849C" w14:textId="77777777" w:rsidR="008B5297" w:rsidRPr="00C116D5" w:rsidRDefault="008B5297" w:rsidP="00023145">
            <w:pPr>
              <w:rPr>
                <w:rFonts w:ascii="Arial" w:hAnsi="Arial" w:cs="Arial"/>
                <w:b/>
                <w:sz w:val="20"/>
                <w:szCs w:val="20"/>
                <w:lang w:val="en-US"/>
              </w:rPr>
            </w:pPr>
          </w:p>
        </w:tc>
        <w:tc>
          <w:tcPr>
            <w:tcW w:w="1417" w:type="dxa"/>
            <w:shd w:val="clear" w:color="auto" w:fill="A6A6A6" w:themeFill="background1" w:themeFillShade="A6"/>
            <w:vAlign w:val="center"/>
          </w:tcPr>
          <w:p w14:paraId="284D45F7" w14:textId="77777777" w:rsidR="008B5297" w:rsidRPr="00C116D5" w:rsidRDefault="008B5297" w:rsidP="00023145">
            <w:pPr>
              <w:rPr>
                <w:rFonts w:ascii="Arial" w:hAnsi="Arial" w:cs="Arial"/>
                <w:sz w:val="20"/>
                <w:szCs w:val="20"/>
                <w:lang w:val="en-US"/>
              </w:rPr>
            </w:pPr>
          </w:p>
        </w:tc>
        <w:tc>
          <w:tcPr>
            <w:tcW w:w="2268" w:type="dxa"/>
            <w:shd w:val="clear" w:color="auto" w:fill="A6A6A6" w:themeFill="background1" w:themeFillShade="A6"/>
          </w:tcPr>
          <w:p w14:paraId="3781E0C9" w14:textId="77777777" w:rsidR="008B5297" w:rsidRPr="00C116D5" w:rsidRDefault="008B5297" w:rsidP="00023145">
            <w:pPr>
              <w:jc w:val="center"/>
              <w:rPr>
                <w:rFonts w:ascii="Arial" w:hAnsi="Arial" w:cs="Arial"/>
                <w:sz w:val="20"/>
                <w:szCs w:val="20"/>
                <w:lang w:val="en-US"/>
              </w:rPr>
            </w:pPr>
          </w:p>
        </w:tc>
        <w:tc>
          <w:tcPr>
            <w:tcW w:w="2268" w:type="dxa"/>
            <w:shd w:val="clear" w:color="auto" w:fill="A6A6A6" w:themeFill="background1" w:themeFillShade="A6"/>
          </w:tcPr>
          <w:p w14:paraId="0C994083" w14:textId="77777777" w:rsidR="008B5297" w:rsidRPr="00C116D5" w:rsidRDefault="008B5297" w:rsidP="00023145">
            <w:pPr>
              <w:jc w:val="center"/>
              <w:rPr>
                <w:rFonts w:ascii="Arial" w:hAnsi="Arial" w:cs="Arial"/>
                <w:sz w:val="20"/>
                <w:szCs w:val="20"/>
                <w:lang w:val="en-US"/>
              </w:rPr>
            </w:pPr>
          </w:p>
        </w:tc>
        <w:tc>
          <w:tcPr>
            <w:tcW w:w="2048" w:type="dxa"/>
            <w:shd w:val="clear" w:color="auto" w:fill="A6A6A6" w:themeFill="background1" w:themeFillShade="A6"/>
          </w:tcPr>
          <w:p w14:paraId="6E4C8B9F" w14:textId="77777777" w:rsidR="008B5297" w:rsidRPr="00C116D5" w:rsidRDefault="008B5297" w:rsidP="00023145">
            <w:pPr>
              <w:jc w:val="center"/>
              <w:rPr>
                <w:rFonts w:ascii="Arial" w:hAnsi="Arial" w:cs="Arial"/>
                <w:sz w:val="20"/>
                <w:szCs w:val="20"/>
                <w:lang w:val="en-US"/>
              </w:rPr>
            </w:pPr>
          </w:p>
        </w:tc>
        <w:tc>
          <w:tcPr>
            <w:tcW w:w="1148" w:type="dxa"/>
            <w:shd w:val="clear" w:color="auto" w:fill="A6A6A6" w:themeFill="background1" w:themeFillShade="A6"/>
          </w:tcPr>
          <w:p w14:paraId="09954F25" w14:textId="77777777" w:rsidR="008B5297" w:rsidRPr="00C116D5" w:rsidRDefault="008B5297" w:rsidP="00023145">
            <w:pPr>
              <w:jc w:val="center"/>
              <w:rPr>
                <w:rFonts w:ascii="Arial" w:hAnsi="Arial" w:cs="Arial"/>
                <w:sz w:val="20"/>
                <w:szCs w:val="20"/>
                <w:lang w:val="en-US"/>
              </w:rPr>
            </w:pPr>
          </w:p>
        </w:tc>
      </w:tr>
      <w:tr w:rsidR="008B5297" w:rsidRPr="00C116D5" w14:paraId="48712D1E" w14:textId="77777777" w:rsidTr="00023145">
        <w:trPr>
          <w:trHeight w:val="690"/>
        </w:trPr>
        <w:tc>
          <w:tcPr>
            <w:tcW w:w="2122" w:type="dxa"/>
            <w:vMerge w:val="restart"/>
            <w:vAlign w:val="center"/>
          </w:tcPr>
          <w:p w14:paraId="5B94F362"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MD</w:t>
            </w:r>
          </w:p>
        </w:tc>
        <w:tc>
          <w:tcPr>
            <w:tcW w:w="1417" w:type="dxa"/>
            <w:vAlign w:val="center"/>
          </w:tcPr>
          <w:p w14:paraId="7C49D814"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TT</w:t>
            </w:r>
          </w:p>
        </w:tc>
        <w:tc>
          <w:tcPr>
            <w:tcW w:w="2268" w:type="dxa"/>
            <w:vAlign w:val="center"/>
          </w:tcPr>
          <w:p w14:paraId="37F3838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-6.0 ± 5.9</w:t>
            </w:r>
          </w:p>
          <w:p w14:paraId="1409D37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-3.6 (-7.5 – -2.3)</w:t>
            </w:r>
          </w:p>
        </w:tc>
        <w:tc>
          <w:tcPr>
            <w:tcW w:w="2268" w:type="dxa"/>
            <w:vAlign w:val="center"/>
          </w:tcPr>
          <w:p w14:paraId="58018A7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0.6</w:t>
            </w:r>
          </w:p>
          <w:p w14:paraId="4E2AC19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-1,1 (-1.5 – -0.4)</w:t>
            </w:r>
          </w:p>
        </w:tc>
        <w:tc>
          <w:tcPr>
            <w:tcW w:w="2048" w:type="dxa"/>
            <w:vAlign w:val="center"/>
          </w:tcPr>
          <w:p w14:paraId="5951921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0.6</w:t>
            </w:r>
          </w:p>
          <w:p w14:paraId="295DC309"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-0.8 (-1.5 –  -0.6)</w:t>
            </w:r>
          </w:p>
        </w:tc>
        <w:tc>
          <w:tcPr>
            <w:tcW w:w="1148" w:type="dxa"/>
          </w:tcPr>
          <w:p w14:paraId="0D100BD6"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3BA2C2DF"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6E1AAC5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0.963</w:t>
            </w:r>
            <w:r w:rsidRPr="00C116D5">
              <w:rPr>
                <w:rFonts w:ascii="Arial" w:hAnsi="Arial" w:cs="Arial"/>
                <w:sz w:val="20"/>
                <w:szCs w:val="20"/>
                <w:vertAlign w:val="superscript"/>
                <w:lang w:val="en-US"/>
              </w:rPr>
              <w:t>c</w:t>
            </w:r>
          </w:p>
          <w:p w14:paraId="105282D0"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00D4809F" w14:textId="77777777" w:rsidTr="00023145">
        <w:trPr>
          <w:trHeight w:val="920"/>
        </w:trPr>
        <w:tc>
          <w:tcPr>
            <w:tcW w:w="2122" w:type="dxa"/>
            <w:vMerge/>
            <w:vAlign w:val="center"/>
          </w:tcPr>
          <w:p w14:paraId="38DCC3A5" w14:textId="77777777" w:rsidR="008B5297" w:rsidRPr="00C116D5" w:rsidRDefault="008B5297" w:rsidP="00023145">
            <w:pPr>
              <w:rPr>
                <w:rFonts w:ascii="Arial" w:hAnsi="Arial" w:cs="Arial"/>
                <w:b/>
                <w:sz w:val="20"/>
                <w:szCs w:val="20"/>
                <w:lang w:val="en-US"/>
              </w:rPr>
            </w:pPr>
          </w:p>
        </w:tc>
        <w:tc>
          <w:tcPr>
            <w:tcW w:w="1417" w:type="dxa"/>
            <w:vAlign w:val="center"/>
          </w:tcPr>
          <w:p w14:paraId="084A726D"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TC</w:t>
            </w:r>
            <w:r w:rsidRPr="00C116D5">
              <w:rPr>
                <w:rFonts w:ascii="Arial" w:hAnsi="Arial" w:cs="Arial"/>
                <w:sz w:val="20"/>
                <w:szCs w:val="20"/>
                <w:lang w:val="en-US"/>
              </w:rPr>
              <w:t xml:space="preserve"> + </w:t>
            </w:r>
            <w:r w:rsidRPr="003654C8">
              <w:rPr>
                <w:rFonts w:ascii="Arial" w:hAnsi="Arial" w:cs="Arial"/>
                <w:i/>
                <w:sz w:val="20"/>
                <w:szCs w:val="20"/>
                <w:lang w:val="en-US"/>
              </w:rPr>
              <w:t>CC</w:t>
            </w:r>
            <w:r w:rsidRPr="00C116D5">
              <w:rPr>
                <w:rFonts w:ascii="Arial" w:hAnsi="Arial" w:cs="Arial"/>
                <w:sz w:val="20"/>
                <w:szCs w:val="20"/>
                <w:lang w:val="en-US"/>
              </w:rPr>
              <w:t xml:space="preserve"> </w:t>
            </w:r>
          </w:p>
        </w:tc>
        <w:tc>
          <w:tcPr>
            <w:tcW w:w="2268" w:type="dxa"/>
            <w:vAlign w:val="center"/>
          </w:tcPr>
          <w:p w14:paraId="2B147F2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-7.0 ± 5.6</w:t>
            </w:r>
          </w:p>
          <w:p w14:paraId="4C5E3CC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-4.3 (-8.0 – -3.3)</w:t>
            </w:r>
          </w:p>
        </w:tc>
        <w:tc>
          <w:tcPr>
            <w:tcW w:w="2268" w:type="dxa"/>
            <w:vAlign w:val="center"/>
          </w:tcPr>
          <w:p w14:paraId="564D863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0.5</w:t>
            </w:r>
          </w:p>
          <w:p w14:paraId="7721C39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-0.8 (-1.4 – -0.6)</w:t>
            </w:r>
          </w:p>
        </w:tc>
        <w:tc>
          <w:tcPr>
            <w:tcW w:w="2048" w:type="dxa"/>
            <w:vAlign w:val="center"/>
          </w:tcPr>
          <w:p w14:paraId="655A589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-0.8 ± 0.6</w:t>
            </w:r>
          </w:p>
          <w:p w14:paraId="5606858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-0.7 (-1.3 – -0.3)</w:t>
            </w:r>
          </w:p>
        </w:tc>
        <w:tc>
          <w:tcPr>
            <w:tcW w:w="1148" w:type="dxa"/>
          </w:tcPr>
          <w:p w14:paraId="533D8DF8"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7B7C3B95"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6806B0D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0.006</w:t>
            </w:r>
            <w:r w:rsidRPr="00C116D5">
              <w:rPr>
                <w:rFonts w:ascii="Arial" w:hAnsi="Arial" w:cs="Arial"/>
                <w:sz w:val="20"/>
                <w:szCs w:val="20"/>
                <w:vertAlign w:val="superscript"/>
                <w:lang w:val="en-US"/>
              </w:rPr>
              <w:t>c</w:t>
            </w:r>
          </w:p>
          <w:p w14:paraId="63BA657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35C8C2C8" w14:textId="77777777" w:rsidTr="00023145">
        <w:tc>
          <w:tcPr>
            <w:tcW w:w="2122" w:type="dxa"/>
            <w:vMerge/>
            <w:vAlign w:val="center"/>
          </w:tcPr>
          <w:p w14:paraId="7357122D" w14:textId="77777777" w:rsidR="008B5297" w:rsidRPr="00C116D5" w:rsidRDefault="008B5297" w:rsidP="00023145">
            <w:pPr>
              <w:rPr>
                <w:rFonts w:ascii="Arial" w:hAnsi="Arial" w:cs="Arial"/>
                <w:b/>
                <w:sz w:val="20"/>
                <w:szCs w:val="20"/>
                <w:lang w:val="en-US"/>
              </w:rPr>
            </w:pPr>
          </w:p>
        </w:tc>
        <w:tc>
          <w:tcPr>
            <w:tcW w:w="1417" w:type="dxa"/>
            <w:vAlign w:val="center"/>
          </w:tcPr>
          <w:p w14:paraId="6E612DF3"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2268" w:type="dxa"/>
          </w:tcPr>
          <w:p w14:paraId="212CB459"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0.109</w:t>
            </w:r>
          </w:p>
        </w:tc>
        <w:tc>
          <w:tcPr>
            <w:tcW w:w="2268" w:type="dxa"/>
          </w:tcPr>
          <w:p w14:paraId="4B0F718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0.915</w:t>
            </w:r>
          </w:p>
        </w:tc>
        <w:tc>
          <w:tcPr>
            <w:tcW w:w="2048" w:type="dxa"/>
          </w:tcPr>
          <w:p w14:paraId="2A84296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0.066</w:t>
            </w:r>
          </w:p>
        </w:tc>
        <w:tc>
          <w:tcPr>
            <w:tcW w:w="1148" w:type="dxa"/>
          </w:tcPr>
          <w:p w14:paraId="2B3545F0" w14:textId="77777777" w:rsidR="008B5297" w:rsidRPr="00C116D5" w:rsidRDefault="008B5297" w:rsidP="00023145">
            <w:pPr>
              <w:jc w:val="center"/>
              <w:rPr>
                <w:rFonts w:ascii="Arial" w:hAnsi="Arial" w:cs="Arial"/>
                <w:sz w:val="20"/>
                <w:szCs w:val="20"/>
                <w:lang w:val="en-US"/>
              </w:rPr>
            </w:pPr>
          </w:p>
        </w:tc>
      </w:tr>
      <w:tr w:rsidR="008B5297" w:rsidRPr="00C116D5" w14:paraId="1F2513EB" w14:textId="77777777" w:rsidTr="00023145">
        <w:tc>
          <w:tcPr>
            <w:tcW w:w="2122" w:type="dxa"/>
            <w:shd w:val="clear" w:color="auto" w:fill="A6A6A6" w:themeFill="background1" w:themeFillShade="A6"/>
            <w:vAlign w:val="center"/>
          </w:tcPr>
          <w:p w14:paraId="71E54E24" w14:textId="77777777" w:rsidR="008B5297" w:rsidRPr="00C116D5" w:rsidRDefault="008B5297" w:rsidP="00023145">
            <w:pPr>
              <w:rPr>
                <w:rFonts w:ascii="Arial" w:hAnsi="Arial" w:cs="Arial"/>
                <w:b/>
                <w:sz w:val="20"/>
                <w:szCs w:val="20"/>
                <w:lang w:val="en-US"/>
              </w:rPr>
            </w:pPr>
          </w:p>
        </w:tc>
        <w:tc>
          <w:tcPr>
            <w:tcW w:w="1417" w:type="dxa"/>
            <w:shd w:val="clear" w:color="auto" w:fill="A6A6A6" w:themeFill="background1" w:themeFillShade="A6"/>
            <w:vAlign w:val="center"/>
          </w:tcPr>
          <w:p w14:paraId="04F3B2F8" w14:textId="77777777" w:rsidR="008B5297" w:rsidRPr="00C116D5" w:rsidRDefault="008B5297" w:rsidP="00023145">
            <w:pPr>
              <w:rPr>
                <w:rFonts w:ascii="Arial" w:hAnsi="Arial" w:cs="Arial"/>
                <w:sz w:val="20"/>
                <w:szCs w:val="20"/>
                <w:lang w:val="en-US"/>
              </w:rPr>
            </w:pPr>
          </w:p>
        </w:tc>
        <w:tc>
          <w:tcPr>
            <w:tcW w:w="2268" w:type="dxa"/>
            <w:shd w:val="clear" w:color="auto" w:fill="A6A6A6" w:themeFill="background1" w:themeFillShade="A6"/>
          </w:tcPr>
          <w:p w14:paraId="14257930" w14:textId="77777777" w:rsidR="008B5297" w:rsidRPr="00C116D5" w:rsidRDefault="008B5297" w:rsidP="00023145">
            <w:pPr>
              <w:jc w:val="center"/>
              <w:rPr>
                <w:rFonts w:ascii="Arial" w:hAnsi="Arial" w:cs="Arial"/>
                <w:sz w:val="20"/>
                <w:szCs w:val="20"/>
                <w:lang w:val="en-US"/>
              </w:rPr>
            </w:pPr>
          </w:p>
        </w:tc>
        <w:tc>
          <w:tcPr>
            <w:tcW w:w="2268" w:type="dxa"/>
            <w:shd w:val="clear" w:color="auto" w:fill="A6A6A6" w:themeFill="background1" w:themeFillShade="A6"/>
          </w:tcPr>
          <w:p w14:paraId="7CA6D68A" w14:textId="77777777" w:rsidR="008B5297" w:rsidRPr="00C116D5" w:rsidRDefault="008B5297" w:rsidP="00023145">
            <w:pPr>
              <w:jc w:val="center"/>
              <w:rPr>
                <w:rFonts w:ascii="Arial" w:hAnsi="Arial" w:cs="Arial"/>
                <w:sz w:val="20"/>
                <w:szCs w:val="20"/>
                <w:lang w:val="en-US"/>
              </w:rPr>
            </w:pPr>
          </w:p>
        </w:tc>
        <w:tc>
          <w:tcPr>
            <w:tcW w:w="2048" w:type="dxa"/>
            <w:shd w:val="clear" w:color="auto" w:fill="A6A6A6" w:themeFill="background1" w:themeFillShade="A6"/>
          </w:tcPr>
          <w:p w14:paraId="27815D80" w14:textId="77777777" w:rsidR="008B5297" w:rsidRPr="00C116D5" w:rsidRDefault="008B5297" w:rsidP="00023145">
            <w:pPr>
              <w:jc w:val="center"/>
              <w:rPr>
                <w:rFonts w:ascii="Arial" w:hAnsi="Arial" w:cs="Arial"/>
                <w:sz w:val="20"/>
                <w:szCs w:val="20"/>
                <w:lang w:val="en-US"/>
              </w:rPr>
            </w:pPr>
          </w:p>
        </w:tc>
        <w:tc>
          <w:tcPr>
            <w:tcW w:w="1148" w:type="dxa"/>
            <w:shd w:val="clear" w:color="auto" w:fill="A6A6A6" w:themeFill="background1" w:themeFillShade="A6"/>
          </w:tcPr>
          <w:p w14:paraId="28ECCA99" w14:textId="77777777" w:rsidR="008B5297" w:rsidRPr="00C116D5" w:rsidRDefault="008B5297" w:rsidP="00023145">
            <w:pPr>
              <w:jc w:val="center"/>
              <w:rPr>
                <w:rFonts w:ascii="Arial" w:hAnsi="Arial" w:cs="Arial"/>
                <w:sz w:val="20"/>
                <w:szCs w:val="20"/>
                <w:lang w:val="en-US"/>
              </w:rPr>
            </w:pPr>
          </w:p>
        </w:tc>
      </w:tr>
      <w:tr w:rsidR="008B5297" w:rsidRPr="00C116D5" w14:paraId="145B112E" w14:textId="77777777" w:rsidTr="00023145">
        <w:trPr>
          <w:trHeight w:val="230"/>
        </w:trPr>
        <w:tc>
          <w:tcPr>
            <w:tcW w:w="2122" w:type="dxa"/>
            <w:vMerge w:val="restart"/>
            <w:vAlign w:val="center"/>
          </w:tcPr>
          <w:p w14:paraId="6C79EB05"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PSD</w:t>
            </w:r>
          </w:p>
        </w:tc>
        <w:tc>
          <w:tcPr>
            <w:tcW w:w="1417" w:type="dxa"/>
            <w:vMerge w:val="restart"/>
            <w:vAlign w:val="center"/>
          </w:tcPr>
          <w:p w14:paraId="1C3A180E"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TT</w:t>
            </w:r>
          </w:p>
        </w:tc>
        <w:tc>
          <w:tcPr>
            <w:tcW w:w="2268" w:type="dxa"/>
            <w:vMerge w:val="restart"/>
            <w:vAlign w:val="center"/>
          </w:tcPr>
          <w:p w14:paraId="7BB980A9"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4.6 ± 3.0</w:t>
            </w:r>
          </w:p>
          <w:p w14:paraId="1689E0B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 xml:space="preserve">3.5 (2.3 – 6.2) </w:t>
            </w:r>
          </w:p>
        </w:tc>
        <w:tc>
          <w:tcPr>
            <w:tcW w:w="2268" w:type="dxa"/>
            <w:vMerge w:val="restart"/>
            <w:vAlign w:val="center"/>
          </w:tcPr>
          <w:p w14:paraId="427E6FC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 xml:space="preserve"> 1.4 ± 0.2</w:t>
            </w:r>
          </w:p>
          <w:p w14:paraId="0792C79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1.3 (1.2 – 1.6)</w:t>
            </w:r>
          </w:p>
        </w:tc>
        <w:tc>
          <w:tcPr>
            <w:tcW w:w="2048" w:type="dxa"/>
            <w:vMerge w:val="restart"/>
            <w:vAlign w:val="center"/>
          </w:tcPr>
          <w:p w14:paraId="25008CD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 0.2</w:t>
            </w:r>
          </w:p>
          <w:p w14:paraId="2128779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(1.2 – 1.6)</w:t>
            </w:r>
          </w:p>
        </w:tc>
        <w:tc>
          <w:tcPr>
            <w:tcW w:w="1148" w:type="dxa"/>
            <w:vMerge w:val="restart"/>
          </w:tcPr>
          <w:p w14:paraId="2880A104"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69ADE307"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4EEB75CF"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0.123</w:t>
            </w:r>
            <w:r w:rsidRPr="00C116D5">
              <w:rPr>
                <w:rFonts w:ascii="Arial" w:hAnsi="Arial" w:cs="Arial"/>
                <w:sz w:val="20"/>
                <w:szCs w:val="20"/>
                <w:vertAlign w:val="superscript"/>
                <w:lang w:val="en-US"/>
              </w:rPr>
              <w:t>c</w:t>
            </w:r>
          </w:p>
          <w:p w14:paraId="3A13601D"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7F1F4053" w14:textId="77777777" w:rsidTr="00023145">
        <w:trPr>
          <w:trHeight w:val="230"/>
        </w:trPr>
        <w:tc>
          <w:tcPr>
            <w:tcW w:w="2122" w:type="dxa"/>
            <w:vMerge/>
          </w:tcPr>
          <w:p w14:paraId="04AEC09F" w14:textId="77777777" w:rsidR="008B5297" w:rsidRPr="00C116D5" w:rsidRDefault="008B5297" w:rsidP="00023145">
            <w:pPr>
              <w:rPr>
                <w:rFonts w:ascii="Arial" w:hAnsi="Arial" w:cs="Arial"/>
                <w:sz w:val="20"/>
                <w:szCs w:val="20"/>
                <w:lang w:val="en-US"/>
              </w:rPr>
            </w:pPr>
          </w:p>
        </w:tc>
        <w:tc>
          <w:tcPr>
            <w:tcW w:w="1417" w:type="dxa"/>
            <w:vMerge/>
            <w:vAlign w:val="center"/>
          </w:tcPr>
          <w:p w14:paraId="3F203C00" w14:textId="77777777" w:rsidR="008B5297" w:rsidRPr="00C116D5" w:rsidRDefault="008B5297" w:rsidP="00023145">
            <w:pPr>
              <w:rPr>
                <w:rFonts w:ascii="Arial" w:hAnsi="Arial" w:cs="Arial"/>
                <w:sz w:val="20"/>
                <w:szCs w:val="20"/>
                <w:lang w:val="en-US"/>
              </w:rPr>
            </w:pPr>
          </w:p>
        </w:tc>
        <w:tc>
          <w:tcPr>
            <w:tcW w:w="2268" w:type="dxa"/>
            <w:vMerge/>
            <w:vAlign w:val="center"/>
          </w:tcPr>
          <w:p w14:paraId="52AA943B" w14:textId="77777777" w:rsidR="008B5297" w:rsidRPr="00C116D5" w:rsidRDefault="008B5297" w:rsidP="00023145">
            <w:pPr>
              <w:jc w:val="center"/>
              <w:rPr>
                <w:rFonts w:ascii="Arial" w:hAnsi="Arial" w:cs="Arial"/>
                <w:sz w:val="20"/>
                <w:szCs w:val="20"/>
                <w:lang w:val="en-US"/>
              </w:rPr>
            </w:pPr>
          </w:p>
        </w:tc>
        <w:tc>
          <w:tcPr>
            <w:tcW w:w="2268" w:type="dxa"/>
            <w:vMerge/>
            <w:vAlign w:val="center"/>
          </w:tcPr>
          <w:p w14:paraId="7505792A" w14:textId="77777777" w:rsidR="008B5297" w:rsidRPr="00C116D5" w:rsidRDefault="008B5297" w:rsidP="00023145">
            <w:pPr>
              <w:jc w:val="center"/>
              <w:rPr>
                <w:rFonts w:ascii="Arial" w:hAnsi="Arial" w:cs="Arial"/>
                <w:sz w:val="20"/>
                <w:szCs w:val="20"/>
                <w:lang w:val="en-US"/>
              </w:rPr>
            </w:pPr>
          </w:p>
        </w:tc>
        <w:tc>
          <w:tcPr>
            <w:tcW w:w="2048" w:type="dxa"/>
            <w:vMerge/>
            <w:vAlign w:val="center"/>
          </w:tcPr>
          <w:p w14:paraId="6E064960" w14:textId="77777777" w:rsidR="008B5297" w:rsidRPr="00C116D5" w:rsidRDefault="008B5297" w:rsidP="00023145">
            <w:pPr>
              <w:jc w:val="center"/>
              <w:rPr>
                <w:rFonts w:ascii="Arial" w:hAnsi="Arial" w:cs="Arial"/>
                <w:sz w:val="20"/>
                <w:szCs w:val="20"/>
                <w:lang w:val="en-US"/>
              </w:rPr>
            </w:pPr>
          </w:p>
        </w:tc>
        <w:tc>
          <w:tcPr>
            <w:tcW w:w="1148" w:type="dxa"/>
            <w:vMerge/>
          </w:tcPr>
          <w:p w14:paraId="0239D14E" w14:textId="77777777" w:rsidR="008B5297" w:rsidRPr="00C116D5" w:rsidRDefault="008B5297" w:rsidP="00023145">
            <w:pPr>
              <w:jc w:val="center"/>
              <w:rPr>
                <w:rFonts w:ascii="Arial" w:hAnsi="Arial" w:cs="Arial"/>
                <w:sz w:val="20"/>
                <w:szCs w:val="20"/>
                <w:lang w:val="en-US"/>
              </w:rPr>
            </w:pPr>
          </w:p>
        </w:tc>
      </w:tr>
      <w:tr w:rsidR="008B5297" w:rsidRPr="00C116D5" w14:paraId="29B27AAE" w14:textId="77777777" w:rsidTr="00023145">
        <w:trPr>
          <w:trHeight w:val="690"/>
        </w:trPr>
        <w:tc>
          <w:tcPr>
            <w:tcW w:w="2122" w:type="dxa"/>
            <w:vMerge/>
          </w:tcPr>
          <w:p w14:paraId="6CF3A9B0" w14:textId="77777777" w:rsidR="008B5297" w:rsidRPr="00C116D5" w:rsidRDefault="008B5297" w:rsidP="00023145">
            <w:pPr>
              <w:rPr>
                <w:rFonts w:ascii="Arial" w:hAnsi="Arial" w:cs="Arial"/>
                <w:sz w:val="20"/>
                <w:szCs w:val="20"/>
                <w:lang w:val="en-US"/>
              </w:rPr>
            </w:pPr>
          </w:p>
        </w:tc>
        <w:tc>
          <w:tcPr>
            <w:tcW w:w="1417" w:type="dxa"/>
            <w:vAlign w:val="center"/>
          </w:tcPr>
          <w:p w14:paraId="5AC1A751"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TC</w:t>
            </w:r>
            <w:r w:rsidRPr="00C116D5">
              <w:rPr>
                <w:rFonts w:ascii="Arial" w:hAnsi="Arial" w:cs="Arial"/>
                <w:sz w:val="20"/>
                <w:szCs w:val="20"/>
                <w:lang w:val="en-US"/>
              </w:rPr>
              <w:t xml:space="preserve"> + </w:t>
            </w:r>
            <w:r w:rsidRPr="003654C8">
              <w:rPr>
                <w:rFonts w:ascii="Arial" w:hAnsi="Arial" w:cs="Arial"/>
                <w:i/>
                <w:sz w:val="20"/>
                <w:szCs w:val="20"/>
                <w:lang w:val="en-US"/>
              </w:rPr>
              <w:t>CC</w:t>
            </w:r>
            <w:r w:rsidRPr="00C116D5">
              <w:rPr>
                <w:rFonts w:ascii="Arial" w:hAnsi="Arial" w:cs="Arial"/>
                <w:sz w:val="20"/>
                <w:szCs w:val="20"/>
                <w:lang w:val="en-US"/>
              </w:rPr>
              <w:t xml:space="preserve"> </w:t>
            </w:r>
          </w:p>
        </w:tc>
        <w:tc>
          <w:tcPr>
            <w:tcW w:w="2268" w:type="dxa"/>
            <w:vAlign w:val="center"/>
          </w:tcPr>
          <w:p w14:paraId="523CBB4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5.1 ± 3.1</w:t>
            </w:r>
          </w:p>
          <w:p w14:paraId="7EEA298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3.8 (2.8 – 6.5)</w:t>
            </w:r>
          </w:p>
        </w:tc>
        <w:tc>
          <w:tcPr>
            <w:tcW w:w="2268" w:type="dxa"/>
            <w:vAlign w:val="center"/>
          </w:tcPr>
          <w:p w14:paraId="7847EE7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 0.2</w:t>
            </w:r>
          </w:p>
          <w:p w14:paraId="7A95388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(1.3 – 1.7)</w:t>
            </w:r>
          </w:p>
        </w:tc>
        <w:tc>
          <w:tcPr>
            <w:tcW w:w="2048" w:type="dxa"/>
            <w:vAlign w:val="center"/>
          </w:tcPr>
          <w:p w14:paraId="49A599E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 0.2</w:t>
            </w:r>
          </w:p>
          <w:p w14:paraId="710D580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1.4 (1.3 – 1.7)</w:t>
            </w:r>
          </w:p>
        </w:tc>
        <w:tc>
          <w:tcPr>
            <w:tcW w:w="1148" w:type="dxa"/>
          </w:tcPr>
          <w:p w14:paraId="27F6F816"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48981B10"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0E532210"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0.591</w:t>
            </w:r>
            <w:r w:rsidRPr="00C116D5">
              <w:rPr>
                <w:rFonts w:ascii="Arial" w:hAnsi="Arial" w:cs="Arial"/>
                <w:sz w:val="20"/>
                <w:szCs w:val="20"/>
                <w:vertAlign w:val="superscript"/>
                <w:lang w:val="en-US"/>
              </w:rPr>
              <w:t>c</w:t>
            </w:r>
          </w:p>
          <w:p w14:paraId="264E6CD9"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122C835A" w14:textId="77777777" w:rsidTr="00023145">
        <w:tc>
          <w:tcPr>
            <w:tcW w:w="2122" w:type="dxa"/>
            <w:vMerge/>
          </w:tcPr>
          <w:p w14:paraId="3F192161" w14:textId="77777777" w:rsidR="008B5297" w:rsidRPr="00C116D5" w:rsidRDefault="008B5297" w:rsidP="00023145">
            <w:pPr>
              <w:rPr>
                <w:rFonts w:ascii="Arial" w:hAnsi="Arial" w:cs="Arial"/>
                <w:sz w:val="20"/>
                <w:szCs w:val="20"/>
                <w:lang w:val="en-US"/>
              </w:rPr>
            </w:pPr>
          </w:p>
        </w:tc>
        <w:tc>
          <w:tcPr>
            <w:tcW w:w="1417" w:type="dxa"/>
            <w:vAlign w:val="center"/>
          </w:tcPr>
          <w:p w14:paraId="42225A9C"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2268" w:type="dxa"/>
          </w:tcPr>
          <w:p w14:paraId="3AFADA6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0.273</w:t>
            </w:r>
          </w:p>
        </w:tc>
        <w:tc>
          <w:tcPr>
            <w:tcW w:w="2268" w:type="dxa"/>
          </w:tcPr>
          <w:p w14:paraId="44988E8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0.038</w:t>
            </w:r>
          </w:p>
        </w:tc>
        <w:tc>
          <w:tcPr>
            <w:tcW w:w="2048" w:type="dxa"/>
          </w:tcPr>
          <w:p w14:paraId="2BA1DD3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0.908</w:t>
            </w:r>
          </w:p>
        </w:tc>
        <w:tc>
          <w:tcPr>
            <w:tcW w:w="1148" w:type="dxa"/>
          </w:tcPr>
          <w:p w14:paraId="7BAF6116" w14:textId="77777777" w:rsidR="008B5297" w:rsidRPr="00C116D5" w:rsidRDefault="008B5297" w:rsidP="00023145">
            <w:pPr>
              <w:jc w:val="center"/>
              <w:rPr>
                <w:rFonts w:ascii="Arial" w:hAnsi="Arial" w:cs="Arial"/>
                <w:sz w:val="20"/>
                <w:szCs w:val="20"/>
                <w:lang w:val="en-US"/>
              </w:rPr>
            </w:pPr>
          </w:p>
        </w:tc>
      </w:tr>
    </w:tbl>
    <w:p w14:paraId="50B7DEFF" w14:textId="77777777" w:rsidR="008B5297" w:rsidRPr="00C116D5" w:rsidRDefault="008B5297" w:rsidP="008B5297">
      <w:pPr>
        <w:spacing w:after="0" w:line="240" w:lineRule="auto"/>
        <w:rPr>
          <w:rFonts w:ascii="Arial" w:hAnsi="Arial" w:cs="Arial"/>
          <w:sz w:val="20"/>
          <w:szCs w:val="20"/>
          <w:lang w:val="en-US"/>
        </w:rPr>
      </w:pPr>
      <w:proofErr w:type="gramStart"/>
      <w:r w:rsidRPr="00C116D5">
        <w:rPr>
          <w:rFonts w:ascii="Arial" w:hAnsi="Arial" w:cs="Arial"/>
          <w:sz w:val="20"/>
          <w:szCs w:val="20"/>
          <w:lang w:val="en-US"/>
        </w:rPr>
        <w:t xml:space="preserve">Data given as mean </w:t>
      </w:r>
      <w:r w:rsidRPr="00C116D5">
        <w:rPr>
          <w:rFonts w:ascii="Arial" w:hAnsi="Arial" w:cs="Arial"/>
          <w:color w:val="000000"/>
          <w:sz w:val="20"/>
          <w:szCs w:val="20"/>
          <w:lang w:val="en-US"/>
        </w:rPr>
        <w:t>± SD in the first row, and as median and quartiles (first quartile-third quartile) in the second row.</w:t>
      </w:r>
      <w:proofErr w:type="gramEnd"/>
      <w:r w:rsidRPr="00C116D5">
        <w:rPr>
          <w:rFonts w:ascii="Arial" w:hAnsi="Arial" w:cs="Arial"/>
          <w:color w:val="000000"/>
          <w:sz w:val="20"/>
          <w:szCs w:val="20"/>
          <w:lang w:val="en-US"/>
        </w:rPr>
        <w:t xml:space="preserve"> </w:t>
      </w:r>
    </w:p>
    <w:p w14:paraId="38F2CB88" w14:textId="77777777" w:rsidR="008B5297" w:rsidRPr="00C116D5" w:rsidRDefault="008B5297" w:rsidP="008B5297">
      <w:pPr>
        <w:spacing w:after="0" w:line="240" w:lineRule="auto"/>
        <w:rPr>
          <w:rFonts w:ascii="Arial" w:eastAsia="Calibri" w:hAnsi="Arial" w:cs="Arial"/>
          <w:sz w:val="20"/>
          <w:szCs w:val="20"/>
          <w:lang w:val="en-US"/>
        </w:rPr>
      </w:pPr>
      <w:proofErr w:type="gramStart"/>
      <w:r w:rsidRPr="00C116D5">
        <w:rPr>
          <w:rFonts w:ascii="Arial" w:hAnsi="Arial" w:cs="Arial"/>
          <w:sz w:val="20"/>
          <w:szCs w:val="20"/>
          <w:vertAlign w:val="superscript"/>
          <w:lang w:val="en-US"/>
        </w:rPr>
        <w:t>a</w:t>
      </w:r>
      <w:proofErr w:type="gramEnd"/>
      <w:r w:rsidRPr="00C116D5">
        <w:rPr>
          <w:rFonts w:ascii="Arial" w:hAnsi="Arial" w:cs="Arial"/>
          <w:sz w:val="20"/>
          <w:szCs w:val="20"/>
          <w:vertAlign w:val="superscript"/>
          <w:lang w:val="en-US"/>
        </w:rPr>
        <w:t xml:space="preserve"> </w:t>
      </w:r>
      <w:r w:rsidRPr="00C116D5">
        <w:rPr>
          <w:rFonts w:ascii="Arial" w:hAnsi="Arial" w:cs="Arial"/>
          <w:sz w:val="20"/>
          <w:szCs w:val="20"/>
          <w:lang w:val="en-US"/>
        </w:rPr>
        <w:t xml:space="preserve">Comparison of three groups (PEG vs. PEX vs. Control) by </w:t>
      </w:r>
      <w:proofErr w:type="spellStart"/>
      <w:r w:rsidRPr="00C116D5">
        <w:rPr>
          <w:rFonts w:ascii="Arial" w:hAnsi="Arial" w:cs="Arial"/>
          <w:sz w:val="20"/>
          <w:szCs w:val="20"/>
          <w:lang w:val="en-US"/>
        </w:rPr>
        <w:t>Kruskal</w:t>
      </w:r>
      <w:proofErr w:type="spellEnd"/>
      <w:r w:rsidRPr="00C116D5">
        <w:rPr>
          <w:rFonts w:ascii="Arial" w:hAnsi="Arial" w:cs="Arial"/>
          <w:sz w:val="20"/>
          <w:szCs w:val="20"/>
          <w:lang w:val="en-US"/>
        </w:rPr>
        <w:t>-Wa</w:t>
      </w:r>
      <w:r w:rsidRPr="00897747">
        <w:rPr>
          <w:rFonts w:ascii="Arial" w:hAnsi="Arial" w:cs="Arial"/>
          <w:sz w:val="20"/>
          <w:szCs w:val="20"/>
          <w:lang w:val="en-US"/>
        </w:rPr>
        <w:t>ll</w:t>
      </w:r>
      <w:r w:rsidRPr="00C116D5">
        <w:rPr>
          <w:rFonts w:ascii="Arial" w:hAnsi="Arial" w:cs="Arial"/>
          <w:sz w:val="20"/>
          <w:szCs w:val="20"/>
          <w:lang w:val="en-US"/>
        </w:rPr>
        <w:t xml:space="preserve">is test, </w:t>
      </w:r>
      <w:r w:rsidRPr="00C116D5">
        <w:rPr>
          <w:rFonts w:ascii="Arial" w:hAnsi="Arial" w:cs="Arial"/>
          <w:sz w:val="20"/>
          <w:szCs w:val="20"/>
          <w:vertAlign w:val="superscript"/>
          <w:lang w:val="en-US"/>
        </w:rPr>
        <w:t>b</w:t>
      </w:r>
      <w:r w:rsidRPr="00C116D5">
        <w:rPr>
          <w:rFonts w:ascii="Arial" w:hAnsi="Arial" w:cs="Arial"/>
          <w:sz w:val="20"/>
          <w:szCs w:val="20"/>
          <w:lang w:val="en-US"/>
        </w:rPr>
        <w:t xml:space="preserve"> PEG vs. Control; </w:t>
      </w:r>
      <w:r w:rsidRPr="00C116D5">
        <w:rPr>
          <w:rFonts w:ascii="Arial" w:eastAsia="Calibri" w:hAnsi="Arial" w:cs="Arial"/>
          <w:sz w:val="20"/>
          <w:szCs w:val="20"/>
          <w:vertAlign w:val="superscript"/>
          <w:lang w:val="en-US"/>
        </w:rPr>
        <w:t xml:space="preserve">c </w:t>
      </w:r>
      <w:r w:rsidRPr="00C116D5">
        <w:rPr>
          <w:rFonts w:ascii="Arial" w:eastAsia="Calibri" w:hAnsi="Arial" w:cs="Arial"/>
          <w:sz w:val="20"/>
          <w:szCs w:val="20"/>
          <w:lang w:val="en-US"/>
        </w:rPr>
        <w:t xml:space="preserve">PEX vs. Control; </w:t>
      </w:r>
      <w:r w:rsidRPr="00C116D5">
        <w:rPr>
          <w:rFonts w:ascii="Arial" w:eastAsia="Calibri" w:hAnsi="Arial" w:cs="Arial"/>
          <w:sz w:val="20"/>
          <w:szCs w:val="20"/>
          <w:vertAlign w:val="superscript"/>
          <w:lang w:val="en-US"/>
        </w:rPr>
        <w:t xml:space="preserve">d </w:t>
      </w:r>
      <w:r w:rsidRPr="00C116D5">
        <w:rPr>
          <w:rFonts w:ascii="Arial" w:eastAsia="Calibri" w:hAnsi="Arial" w:cs="Arial"/>
          <w:sz w:val="20"/>
          <w:szCs w:val="20"/>
          <w:lang w:val="en-US"/>
        </w:rPr>
        <w:t>PEG vs. PEX by Conover’s formula.</w:t>
      </w:r>
    </w:p>
    <w:p w14:paraId="5576F3A7" w14:textId="49F0218B" w:rsidR="008B5297" w:rsidRPr="00C116D5" w:rsidRDefault="008B5297" w:rsidP="008B5297">
      <w:pPr>
        <w:spacing w:after="0" w:line="240" w:lineRule="auto"/>
        <w:rPr>
          <w:rFonts w:ascii="Arial" w:eastAsia="Calibri" w:hAnsi="Arial" w:cs="Arial"/>
          <w:color w:val="000000" w:themeColor="text1"/>
          <w:sz w:val="20"/>
          <w:szCs w:val="20"/>
          <w:lang w:val="en-US"/>
        </w:rPr>
      </w:pPr>
      <w:r w:rsidRPr="00C116D5">
        <w:rPr>
          <w:rFonts w:ascii="Arial" w:eastAsia="Calibri" w:hAnsi="Arial" w:cs="Arial"/>
          <w:sz w:val="20"/>
          <w:szCs w:val="20"/>
          <w:lang w:val="en-US"/>
        </w:rPr>
        <w:t>*</w:t>
      </w:r>
      <w:r w:rsidRPr="003654C8">
        <w:rPr>
          <w:rFonts w:ascii="Arial" w:eastAsia="Calibri" w:hAnsi="Arial" w:cs="Arial"/>
          <w:i/>
          <w:sz w:val="20"/>
          <w:szCs w:val="20"/>
          <w:lang w:val="en-US"/>
        </w:rPr>
        <w:t>TC</w:t>
      </w:r>
      <w:r w:rsidRPr="00C116D5">
        <w:rPr>
          <w:rFonts w:ascii="Arial" w:eastAsia="Calibri" w:hAnsi="Arial" w:cs="Arial"/>
          <w:sz w:val="20"/>
          <w:szCs w:val="20"/>
          <w:lang w:val="en-US"/>
        </w:rPr>
        <w:t>+</w:t>
      </w:r>
      <w:r w:rsidRPr="003654C8">
        <w:rPr>
          <w:rFonts w:ascii="Arial" w:eastAsia="Calibri" w:hAnsi="Arial" w:cs="Arial"/>
          <w:i/>
          <w:sz w:val="20"/>
          <w:szCs w:val="20"/>
          <w:lang w:val="en-US"/>
        </w:rPr>
        <w:t>CC</w:t>
      </w:r>
      <w:r w:rsidRPr="00C116D5">
        <w:rPr>
          <w:rFonts w:ascii="Arial" w:eastAsia="Calibri" w:hAnsi="Arial" w:cs="Arial"/>
          <w:sz w:val="20"/>
          <w:szCs w:val="20"/>
          <w:lang w:val="en-US"/>
        </w:rPr>
        <w:t xml:space="preserve"> vs. </w:t>
      </w:r>
      <w:r w:rsidRPr="003654C8">
        <w:rPr>
          <w:rFonts w:ascii="Arial" w:eastAsia="Calibri" w:hAnsi="Arial" w:cs="Arial"/>
          <w:i/>
          <w:sz w:val="20"/>
          <w:szCs w:val="20"/>
          <w:lang w:val="en-US"/>
        </w:rPr>
        <w:t>TT</w:t>
      </w:r>
      <w:r>
        <w:rPr>
          <w:rFonts w:ascii="Arial" w:eastAsia="Calibri" w:hAnsi="Arial" w:cs="Arial"/>
          <w:sz w:val="20"/>
          <w:szCs w:val="20"/>
          <w:lang w:val="en-US"/>
        </w:rPr>
        <w:t xml:space="preserve"> by Mann-Whitney U test and </w:t>
      </w:r>
      <w:proofErr w:type="spellStart"/>
      <w:r>
        <w:rPr>
          <w:rFonts w:ascii="Arial" w:eastAsia="Calibri" w:hAnsi="Arial" w:cs="Arial"/>
          <w:color w:val="000000" w:themeColor="text1"/>
          <w:sz w:val="20"/>
          <w:szCs w:val="20"/>
          <w:lang w:val="en-US"/>
        </w:rPr>
        <w:t>Bonferroni</w:t>
      </w:r>
      <w:proofErr w:type="spellEnd"/>
      <w:r>
        <w:rPr>
          <w:rFonts w:ascii="Arial" w:eastAsia="Calibri" w:hAnsi="Arial" w:cs="Arial"/>
          <w:color w:val="000000" w:themeColor="text1"/>
          <w:sz w:val="20"/>
          <w:szCs w:val="20"/>
          <w:lang w:val="en-US"/>
        </w:rPr>
        <w:t xml:space="preserve"> corrected significance cut-off value was 0.0125.</w:t>
      </w:r>
    </w:p>
    <w:p w14:paraId="4F6E1FF0" w14:textId="77777777" w:rsidR="008B5297" w:rsidRPr="00C116D5" w:rsidRDefault="008B5297" w:rsidP="008B5297">
      <w:pPr>
        <w:spacing w:after="0" w:line="240" w:lineRule="auto"/>
        <w:rPr>
          <w:rFonts w:ascii="Arial" w:hAnsi="Arial" w:cs="Arial"/>
          <w:sz w:val="20"/>
          <w:szCs w:val="20"/>
          <w:lang w:val="en-US"/>
        </w:rPr>
      </w:pPr>
    </w:p>
    <w:p w14:paraId="4ECC24F6" w14:textId="77777777" w:rsidR="008B5297" w:rsidRPr="00C116D5" w:rsidRDefault="008B5297" w:rsidP="008B5297">
      <w:pPr>
        <w:spacing w:after="240" w:line="0" w:lineRule="atLeast"/>
        <w:ind w:left="405"/>
        <w:rPr>
          <w:rFonts w:ascii="Arial" w:hAnsi="Arial" w:cs="Arial"/>
          <w:b/>
          <w:lang w:val="en-US" w:eastAsia="tr-TR" w:bidi="en-US"/>
        </w:rPr>
      </w:pPr>
    </w:p>
    <w:p w14:paraId="08B2C4FE" w14:textId="77777777" w:rsidR="008B5297" w:rsidRPr="00C116D5" w:rsidRDefault="008B5297" w:rsidP="008B5297">
      <w:pPr>
        <w:spacing w:after="240" w:line="0" w:lineRule="atLeast"/>
        <w:ind w:left="405"/>
        <w:rPr>
          <w:rFonts w:ascii="Arial" w:hAnsi="Arial" w:cs="Arial"/>
          <w:b/>
          <w:lang w:val="en-US" w:eastAsia="tr-TR" w:bidi="en-US"/>
        </w:rPr>
      </w:pPr>
    </w:p>
    <w:p w14:paraId="4D3BECA9" w14:textId="77777777" w:rsidR="008B5297" w:rsidRPr="00C116D5" w:rsidRDefault="008B5297" w:rsidP="008B5297">
      <w:pPr>
        <w:spacing w:after="240" w:line="0" w:lineRule="atLeast"/>
        <w:ind w:left="405"/>
        <w:rPr>
          <w:rFonts w:ascii="Arial" w:hAnsi="Arial" w:cs="Arial"/>
          <w:b/>
          <w:lang w:val="en-US" w:eastAsia="tr-TR" w:bidi="en-US"/>
        </w:rPr>
      </w:pPr>
    </w:p>
    <w:p w14:paraId="0EF2E591" w14:textId="77777777" w:rsidR="008B5297" w:rsidRPr="00C116D5" w:rsidRDefault="008B5297" w:rsidP="008B5297">
      <w:pPr>
        <w:spacing w:after="240" w:line="0" w:lineRule="atLeast"/>
        <w:ind w:left="405"/>
        <w:rPr>
          <w:rFonts w:ascii="Arial" w:hAnsi="Arial" w:cs="Arial"/>
          <w:b/>
          <w:lang w:val="en-US" w:eastAsia="tr-TR" w:bidi="en-US"/>
        </w:rPr>
      </w:pPr>
    </w:p>
    <w:p w14:paraId="175D9ACF" w14:textId="77777777" w:rsidR="008B5297" w:rsidRPr="00C116D5" w:rsidRDefault="008B5297" w:rsidP="008B5297">
      <w:pPr>
        <w:spacing w:after="240" w:line="0" w:lineRule="atLeast"/>
        <w:ind w:left="405"/>
        <w:rPr>
          <w:rFonts w:ascii="Arial" w:hAnsi="Arial" w:cs="Arial"/>
          <w:b/>
          <w:lang w:val="en-US" w:eastAsia="tr-TR" w:bidi="en-US"/>
        </w:rPr>
      </w:pPr>
    </w:p>
    <w:p w14:paraId="7D08B456" w14:textId="77777777" w:rsidR="008B5297" w:rsidRPr="00C116D5" w:rsidRDefault="008B5297" w:rsidP="008B5297">
      <w:pPr>
        <w:spacing w:after="240" w:line="0" w:lineRule="atLeast"/>
        <w:ind w:left="405"/>
        <w:rPr>
          <w:rFonts w:ascii="Arial" w:hAnsi="Arial" w:cs="Arial"/>
          <w:b/>
          <w:lang w:val="en-US" w:eastAsia="tr-TR" w:bidi="en-US"/>
        </w:rPr>
      </w:pPr>
    </w:p>
    <w:p w14:paraId="51FB4FD6" w14:textId="77777777" w:rsidR="008B5297" w:rsidRPr="00C116D5" w:rsidRDefault="008B5297" w:rsidP="008B5297">
      <w:pPr>
        <w:spacing w:after="240" w:line="0" w:lineRule="atLeast"/>
        <w:ind w:left="405"/>
        <w:rPr>
          <w:rFonts w:ascii="Arial" w:hAnsi="Arial" w:cs="Arial"/>
          <w:b/>
          <w:lang w:val="en-US" w:eastAsia="tr-TR" w:bidi="en-US"/>
        </w:rPr>
      </w:pPr>
    </w:p>
    <w:p w14:paraId="3132A3AD" w14:textId="77777777" w:rsidR="008B5297" w:rsidRPr="00C116D5" w:rsidRDefault="008B5297" w:rsidP="008B5297">
      <w:pPr>
        <w:spacing w:after="240" w:line="0" w:lineRule="atLeast"/>
        <w:ind w:left="405"/>
        <w:rPr>
          <w:rFonts w:ascii="Arial" w:hAnsi="Arial" w:cs="Arial"/>
          <w:b/>
          <w:lang w:val="en-US" w:eastAsia="tr-TR" w:bidi="en-US"/>
        </w:rPr>
      </w:pPr>
    </w:p>
    <w:p w14:paraId="7EBE0301" w14:textId="77777777" w:rsidR="008B5297" w:rsidRPr="00C116D5" w:rsidRDefault="008B5297" w:rsidP="008B5297">
      <w:pPr>
        <w:spacing w:after="240" w:line="0" w:lineRule="atLeast"/>
        <w:ind w:left="405"/>
        <w:rPr>
          <w:rFonts w:ascii="Arial" w:hAnsi="Arial" w:cs="Arial"/>
          <w:b/>
          <w:lang w:val="en-US" w:eastAsia="tr-TR" w:bidi="en-US"/>
        </w:rPr>
      </w:pPr>
    </w:p>
    <w:p w14:paraId="5A86316D" w14:textId="77777777" w:rsidR="008B5297" w:rsidRPr="00C116D5" w:rsidRDefault="008B5297" w:rsidP="008B5297">
      <w:pPr>
        <w:spacing w:after="240" w:line="0" w:lineRule="atLeast"/>
        <w:ind w:left="405"/>
        <w:rPr>
          <w:rFonts w:ascii="Arial" w:hAnsi="Arial" w:cs="Arial"/>
          <w:b/>
          <w:lang w:val="en-US" w:eastAsia="tr-TR" w:bidi="en-US"/>
        </w:rPr>
      </w:pPr>
    </w:p>
    <w:p w14:paraId="69230A5F" w14:textId="77777777" w:rsidR="008B5297" w:rsidRPr="00C116D5" w:rsidRDefault="008B5297" w:rsidP="008B5297">
      <w:pPr>
        <w:spacing w:after="240" w:line="0" w:lineRule="atLeast"/>
        <w:ind w:left="405"/>
        <w:rPr>
          <w:rFonts w:ascii="Arial" w:hAnsi="Arial" w:cs="Arial"/>
          <w:b/>
          <w:lang w:val="en-US" w:eastAsia="tr-TR" w:bidi="en-US"/>
        </w:rPr>
      </w:pPr>
    </w:p>
    <w:p w14:paraId="0051CE4F" w14:textId="77777777" w:rsidR="008B5297" w:rsidRPr="00C116D5" w:rsidRDefault="008B5297" w:rsidP="008B5297">
      <w:pPr>
        <w:spacing w:after="240" w:line="0" w:lineRule="atLeast"/>
        <w:ind w:left="405"/>
        <w:rPr>
          <w:rFonts w:ascii="Arial" w:hAnsi="Arial" w:cs="Arial"/>
          <w:b/>
          <w:lang w:val="en-US" w:eastAsia="tr-TR" w:bidi="en-US"/>
        </w:rPr>
      </w:pPr>
    </w:p>
    <w:p w14:paraId="5D646079" w14:textId="77777777" w:rsidR="008B5297" w:rsidRPr="00C116D5" w:rsidRDefault="008B5297" w:rsidP="008B5297">
      <w:pPr>
        <w:spacing w:after="240" w:line="0" w:lineRule="atLeast"/>
        <w:ind w:left="405"/>
        <w:rPr>
          <w:rFonts w:ascii="Arial" w:hAnsi="Arial" w:cs="Arial"/>
          <w:b/>
          <w:lang w:val="en-US" w:eastAsia="tr-TR" w:bidi="en-US"/>
        </w:rPr>
      </w:pPr>
    </w:p>
    <w:p w14:paraId="6ED5EF80" w14:textId="77777777" w:rsidR="008B5297" w:rsidRPr="00C116D5" w:rsidRDefault="008B5297" w:rsidP="008B5297">
      <w:pPr>
        <w:spacing w:after="240" w:line="0" w:lineRule="atLeast"/>
        <w:ind w:left="405"/>
        <w:rPr>
          <w:rFonts w:ascii="Arial" w:hAnsi="Arial" w:cs="Arial"/>
          <w:b/>
          <w:lang w:val="en-US" w:eastAsia="tr-TR" w:bidi="en-US"/>
        </w:rPr>
      </w:pPr>
    </w:p>
    <w:p w14:paraId="04B66C8A" w14:textId="4EBF6E17" w:rsidR="008B5297" w:rsidRPr="00C116D5" w:rsidRDefault="008B5297" w:rsidP="008B5297">
      <w:pPr>
        <w:rPr>
          <w:rFonts w:ascii="Arial" w:hAnsi="Arial" w:cs="Arial"/>
          <w:lang w:val="en-US"/>
        </w:rPr>
      </w:pPr>
      <w:proofErr w:type="gramStart"/>
      <w:r w:rsidRPr="00C116D5">
        <w:rPr>
          <w:rFonts w:ascii="Arial" w:hAnsi="Arial" w:cs="Arial"/>
          <w:b/>
          <w:lang w:val="en-US"/>
        </w:rPr>
        <w:lastRenderedPageBreak/>
        <w:t xml:space="preserve">Table </w:t>
      </w:r>
      <w:r w:rsidR="00FE487B">
        <w:rPr>
          <w:rFonts w:ascii="Arial" w:hAnsi="Arial" w:cs="Arial"/>
          <w:b/>
          <w:lang w:val="en-US"/>
        </w:rPr>
        <w:t>6</w:t>
      </w:r>
      <w:r w:rsidRPr="00C116D5">
        <w:rPr>
          <w:rFonts w:ascii="Arial" w:hAnsi="Arial" w:cs="Arial"/>
          <w:lang w:val="en-US"/>
        </w:rPr>
        <w:t>.</w:t>
      </w:r>
      <w:proofErr w:type="gramEnd"/>
      <w:r w:rsidRPr="00C116D5">
        <w:rPr>
          <w:rFonts w:ascii="Arial" w:hAnsi="Arial" w:cs="Arial"/>
          <w:lang w:val="en-US"/>
        </w:rPr>
        <w:t xml:space="preserve"> Stratification of visual clinical characteristics of PEG, PEX and control groups with respect to </w:t>
      </w:r>
      <w:r w:rsidRPr="003A1C80">
        <w:rPr>
          <w:rFonts w:ascii="Arial" w:hAnsi="Arial" w:cs="Arial"/>
          <w:i/>
          <w:lang w:val="en-US"/>
        </w:rPr>
        <w:t>PON1</w:t>
      </w:r>
      <w:r w:rsidRPr="00C116D5">
        <w:rPr>
          <w:rFonts w:ascii="Arial" w:hAnsi="Arial" w:cs="Arial"/>
          <w:lang w:val="en-US"/>
        </w:rPr>
        <w:t xml:space="preserve"> </w:t>
      </w:r>
      <w:r w:rsidRPr="003654C8">
        <w:rPr>
          <w:rFonts w:ascii="Arial" w:hAnsi="Arial" w:cs="Arial"/>
          <w:i/>
          <w:lang w:val="en-US"/>
        </w:rPr>
        <w:t>192Q/R</w:t>
      </w:r>
      <w:r w:rsidRPr="00C116D5">
        <w:rPr>
          <w:rFonts w:ascii="Arial" w:hAnsi="Arial" w:cs="Arial"/>
          <w:lang w:val="en-US"/>
        </w:rPr>
        <w:t xml:space="preserve"> genotypes </w:t>
      </w:r>
    </w:p>
    <w:tbl>
      <w:tblPr>
        <w:tblStyle w:val="TabloKlavuzu"/>
        <w:tblW w:w="0" w:type="auto"/>
        <w:tblLook w:val="04A0" w:firstRow="1" w:lastRow="0" w:firstColumn="1" w:lastColumn="0" w:noHBand="0" w:noVBand="1"/>
      </w:tblPr>
      <w:tblGrid>
        <w:gridCol w:w="2093"/>
        <w:gridCol w:w="1450"/>
        <w:gridCol w:w="1984"/>
        <w:gridCol w:w="1985"/>
        <w:gridCol w:w="1985"/>
        <w:gridCol w:w="950"/>
      </w:tblGrid>
      <w:tr w:rsidR="008B5297" w:rsidRPr="00C116D5" w14:paraId="655ADE6C" w14:textId="77777777" w:rsidTr="00023145">
        <w:tc>
          <w:tcPr>
            <w:tcW w:w="2093" w:type="dxa"/>
          </w:tcPr>
          <w:p w14:paraId="656E96CA"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Clinical characteristic</w:t>
            </w:r>
          </w:p>
        </w:tc>
        <w:tc>
          <w:tcPr>
            <w:tcW w:w="1450" w:type="dxa"/>
          </w:tcPr>
          <w:p w14:paraId="5E9BA71C" w14:textId="77777777" w:rsidR="008B5297" w:rsidRPr="00C116D5" w:rsidRDefault="008B5297" w:rsidP="00023145">
            <w:pPr>
              <w:rPr>
                <w:rFonts w:ascii="Arial" w:hAnsi="Arial" w:cs="Arial"/>
                <w:b/>
                <w:sz w:val="20"/>
                <w:szCs w:val="20"/>
                <w:lang w:val="en-US"/>
              </w:rPr>
            </w:pPr>
            <w:r w:rsidRPr="003654C8">
              <w:rPr>
                <w:rFonts w:ascii="Arial" w:hAnsi="Arial" w:cs="Arial"/>
                <w:b/>
                <w:i/>
                <w:sz w:val="20"/>
                <w:szCs w:val="20"/>
                <w:lang w:val="en-US"/>
              </w:rPr>
              <w:t>192Q/R</w:t>
            </w:r>
            <w:r w:rsidRPr="00C116D5">
              <w:rPr>
                <w:rFonts w:ascii="Arial" w:hAnsi="Arial" w:cs="Arial"/>
                <w:b/>
                <w:sz w:val="20"/>
                <w:szCs w:val="20"/>
                <w:lang w:val="en-US"/>
              </w:rPr>
              <w:t xml:space="preserve"> Genotype</w:t>
            </w:r>
          </w:p>
        </w:tc>
        <w:tc>
          <w:tcPr>
            <w:tcW w:w="1984" w:type="dxa"/>
          </w:tcPr>
          <w:p w14:paraId="1466D450"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 xml:space="preserve">PEG </w:t>
            </w:r>
          </w:p>
        </w:tc>
        <w:tc>
          <w:tcPr>
            <w:tcW w:w="1985" w:type="dxa"/>
          </w:tcPr>
          <w:p w14:paraId="47EBAD32"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 xml:space="preserve">PEX </w:t>
            </w:r>
          </w:p>
        </w:tc>
        <w:tc>
          <w:tcPr>
            <w:tcW w:w="1985" w:type="dxa"/>
          </w:tcPr>
          <w:p w14:paraId="3760307B"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Control</w:t>
            </w:r>
          </w:p>
        </w:tc>
        <w:tc>
          <w:tcPr>
            <w:tcW w:w="950" w:type="dxa"/>
          </w:tcPr>
          <w:p w14:paraId="0030A5F2"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P</w:t>
            </w:r>
          </w:p>
        </w:tc>
      </w:tr>
      <w:tr w:rsidR="008B5297" w:rsidRPr="00C116D5" w14:paraId="0C735ECB" w14:textId="77777777" w:rsidTr="00023145">
        <w:trPr>
          <w:trHeight w:val="690"/>
        </w:trPr>
        <w:tc>
          <w:tcPr>
            <w:tcW w:w="2093" w:type="dxa"/>
            <w:vMerge w:val="restart"/>
            <w:vAlign w:val="center"/>
          </w:tcPr>
          <w:p w14:paraId="6A13C733" w14:textId="77777777" w:rsidR="008B5297" w:rsidRPr="00C116D5" w:rsidRDefault="008B5297" w:rsidP="00023145">
            <w:pPr>
              <w:rPr>
                <w:rFonts w:ascii="Arial" w:hAnsi="Arial" w:cs="Arial"/>
                <w:sz w:val="20"/>
                <w:szCs w:val="20"/>
                <w:lang w:val="en-US"/>
              </w:rPr>
            </w:pPr>
            <w:r w:rsidRPr="00C116D5">
              <w:rPr>
                <w:rFonts w:ascii="Arial" w:hAnsi="Arial" w:cs="Arial"/>
                <w:b/>
                <w:sz w:val="20"/>
                <w:szCs w:val="20"/>
                <w:lang w:val="en-US"/>
              </w:rPr>
              <w:t>IOP (</w:t>
            </w:r>
            <w:r w:rsidRPr="00A038F3">
              <w:rPr>
                <w:rFonts w:ascii="Arial" w:hAnsi="Arial" w:cs="Arial"/>
                <w:b/>
                <w:sz w:val="20"/>
                <w:szCs w:val="20"/>
                <w:lang w:val="en-US"/>
              </w:rPr>
              <w:t>mm</w:t>
            </w:r>
            <w:r w:rsidRPr="00C116D5">
              <w:rPr>
                <w:rFonts w:ascii="Arial" w:hAnsi="Arial" w:cs="Arial"/>
                <w:b/>
                <w:sz w:val="20"/>
                <w:szCs w:val="20"/>
                <w:lang w:val="en-US"/>
              </w:rPr>
              <w:t>Hg)</w:t>
            </w:r>
          </w:p>
        </w:tc>
        <w:tc>
          <w:tcPr>
            <w:tcW w:w="1450" w:type="dxa"/>
            <w:vAlign w:val="center"/>
          </w:tcPr>
          <w:p w14:paraId="13CDE252"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QQ</w:t>
            </w:r>
          </w:p>
        </w:tc>
        <w:tc>
          <w:tcPr>
            <w:tcW w:w="1984" w:type="dxa"/>
            <w:vAlign w:val="center"/>
          </w:tcPr>
          <w:p w14:paraId="5C7021C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21.4 ± 4.8</w:t>
            </w:r>
          </w:p>
          <w:p w14:paraId="54CBCB4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21.0 (18.0 – 23.8)</w:t>
            </w:r>
          </w:p>
        </w:tc>
        <w:tc>
          <w:tcPr>
            <w:tcW w:w="1985" w:type="dxa"/>
            <w:vAlign w:val="center"/>
          </w:tcPr>
          <w:p w14:paraId="2941EDF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19.5 ± 5.6</w:t>
            </w:r>
          </w:p>
          <w:p w14:paraId="6152AC5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(16.0 – 22.5)</w:t>
            </w:r>
          </w:p>
        </w:tc>
        <w:tc>
          <w:tcPr>
            <w:tcW w:w="1985" w:type="dxa"/>
            <w:vAlign w:val="center"/>
          </w:tcPr>
          <w:p w14:paraId="3BA970E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18.4 ± 5.8</w:t>
            </w:r>
          </w:p>
          <w:p w14:paraId="6E5C05D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(14.0 – 20.5)</w:t>
            </w:r>
          </w:p>
        </w:tc>
        <w:tc>
          <w:tcPr>
            <w:tcW w:w="950" w:type="dxa"/>
            <w:vAlign w:val="center"/>
          </w:tcPr>
          <w:p w14:paraId="5B59A38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18E2A34C"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499F51C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0.133</w:t>
            </w:r>
            <w:r w:rsidRPr="00C116D5">
              <w:rPr>
                <w:rFonts w:ascii="Arial" w:hAnsi="Arial" w:cs="Arial"/>
                <w:sz w:val="20"/>
                <w:szCs w:val="20"/>
                <w:vertAlign w:val="superscript"/>
                <w:lang w:val="en-US"/>
              </w:rPr>
              <w:t>c</w:t>
            </w:r>
          </w:p>
          <w:p w14:paraId="00104D5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0.008</w:t>
            </w:r>
            <w:r w:rsidRPr="00C116D5">
              <w:rPr>
                <w:rFonts w:ascii="Arial" w:hAnsi="Arial" w:cs="Arial"/>
                <w:sz w:val="20"/>
                <w:szCs w:val="20"/>
                <w:vertAlign w:val="superscript"/>
                <w:lang w:val="en-US"/>
              </w:rPr>
              <w:t>d</w:t>
            </w:r>
          </w:p>
        </w:tc>
      </w:tr>
      <w:tr w:rsidR="008B5297" w:rsidRPr="00C116D5" w14:paraId="51206A31" w14:textId="77777777" w:rsidTr="00023145">
        <w:trPr>
          <w:trHeight w:val="690"/>
        </w:trPr>
        <w:tc>
          <w:tcPr>
            <w:tcW w:w="2093" w:type="dxa"/>
            <w:vMerge/>
            <w:vAlign w:val="center"/>
          </w:tcPr>
          <w:p w14:paraId="41084BF8" w14:textId="77777777" w:rsidR="008B5297" w:rsidRPr="00C116D5" w:rsidRDefault="008B5297" w:rsidP="00023145">
            <w:pPr>
              <w:rPr>
                <w:rFonts w:ascii="Arial" w:hAnsi="Arial" w:cs="Arial"/>
                <w:sz w:val="20"/>
                <w:szCs w:val="20"/>
                <w:lang w:val="en-US"/>
              </w:rPr>
            </w:pPr>
          </w:p>
        </w:tc>
        <w:tc>
          <w:tcPr>
            <w:tcW w:w="1450" w:type="dxa"/>
            <w:vAlign w:val="center"/>
          </w:tcPr>
          <w:p w14:paraId="76572F64"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QR</w:t>
            </w:r>
            <w:r w:rsidRPr="00C116D5">
              <w:rPr>
                <w:rFonts w:ascii="Arial" w:hAnsi="Arial" w:cs="Arial"/>
                <w:sz w:val="20"/>
                <w:szCs w:val="20"/>
                <w:lang w:val="en-US"/>
              </w:rPr>
              <w:t xml:space="preserve">+ </w:t>
            </w:r>
            <w:r w:rsidRPr="003654C8">
              <w:rPr>
                <w:rFonts w:ascii="Arial" w:hAnsi="Arial" w:cs="Arial"/>
                <w:i/>
                <w:sz w:val="20"/>
                <w:szCs w:val="20"/>
                <w:lang w:val="en-US"/>
              </w:rPr>
              <w:t>RR</w:t>
            </w:r>
          </w:p>
        </w:tc>
        <w:tc>
          <w:tcPr>
            <w:tcW w:w="1984" w:type="dxa"/>
            <w:vAlign w:val="center"/>
          </w:tcPr>
          <w:p w14:paraId="09C2163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21.7 ± 5.1</w:t>
            </w:r>
          </w:p>
          <w:p w14:paraId="75DA7A9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20.0 (18.0  – 25.3)</w:t>
            </w:r>
          </w:p>
        </w:tc>
        <w:tc>
          <w:tcPr>
            <w:tcW w:w="1985" w:type="dxa"/>
            <w:vAlign w:val="center"/>
          </w:tcPr>
          <w:p w14:paraId="599CF6E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19.2 ± 5.0</w:t>
            </w:r>
          </w:p>
          <w:p w14:paraId="75B9AB7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(16.0  – 22.5)</w:t>
            </w:r>
          </w:p>
        </w:tc>
        <w:tc>
          <w:tcPr>
            <w:tcW w:w="1985" w:type="dxa"/>
            <w:vAlign w:val="center"/>
          </w:tcPr>
          <w:p w14:paraId="6EF3544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19.4 ± 5.8</w:t>
            </w:r>
          </w:p>
          <w:p w14:paraId="07F64C8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18.0 (16.0  – 22.0)</w:t>
            </w:r>
          </w:p>
        </w:tc>
        <w:tc>
          <w:tcPr>
            <w:tcW w:w="950" w:type="dxa"/>
            <w:vAlign w:val="center"/>
          </w:tcPr>
          <w:p w14:paraId="0EE23A80"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0.007</w:t>
            </w:r>
            <w:r w:rsidRPr="00C116D5">
              <w:rPr>
                <w:rFonts w:ascii="Arial" w:hAnsi="Arial" w:cs="Arial"/>
                <w:sz w:val="20"/>
                <w:szCs w:val="20"/>
                <w:vertAlign w:val="superscript"/>
                <w:lang w:val="en-US"/>
              </w:rPr>
              <w:t>a</w:t>
            </w:r>
          </w:p>
          <w:p w14:paraId="17EAEC1C"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0.006</w:t>
            </w:r>
            <w:r w:rsidRPr="00C116D5">
              <w:rPr>
                <w:rFonts w:ascii="Arial" w:hAnsi="Arial" w:cs="Arial"/>
                <w:sz w:val="20"/>
                <w:szCs w:val="20"/>
                <w:vertAlign w:val="superscript"/>
                <w:lang w:val="en-US"/>
              </w:rPr>
              <w:t xml:space="preserve">b </w:t>
            </w:r>
          </w:p>
          <w:p w14:paraId="2A70BD13"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0.933</w:t>
            </w:r>
            <w:r w:rsidRPr="00C116D5">
              <w:rPr>
                <w:rFonts w:ascii="Arial" w:hAnsi="Arial" w:cs="Arial"/>
                <w:sz w:val="20"/>
                <w:szCs w:val="20"/>
                <w:vertAlign w:val="superscript"/>
                <w:lang w:val="en-US"/>
              </w:rPr>
              <w:t>c</w:t>
            </w:r>
          </w:p>
          <w:p w14:paraId="42123FA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0.005</w:t>
            </w:r>
            <w:r w:rsidRPr="00C116D5">
              <w:rPr>
                <w:rFonts w:ascii="Arial" w:hAnsi="Arial" w:cs="Arial"/>
                <w:sz w:val="20"/>
                <w:szCs w:val="20"/>
                <w:vertAlign w:val="superscript"/>
                <w:lang w:val="en-US"/>
              </w:rPr>
              <w:t>d</w:t>
            </w:r>
          </w:p>
        </w:tc>
      </w:tr>
      <w:tr w:rsidR="008B5297" w:rsidRPr="00C116D5" w14:paraId="2FF828BB" w14:textId="77777777" w:rsidTr="00023145">
        <w:tc>
          <w:tcPr>
            <w:tcW w:w="2093" w:type="dxa"/>
            <w:vMerge/>
            <w:vAlign w:val="center"/>
          </w:tcPr>
          <w:p w14:paraId="6396BE0E" w14:textId="77777777" w:rsidR="008B5297" w:rsidRPr="00C116D5" w:rsidRDefault="008B5297" w:rsidP="00023145">
            <w:pPr>
              <w:rPr>
                <w:rFonts w:ascii="Arial" w:hAnsi="Arial" w:cs="Arial"/>
                <w:sz w:val="20"/>
                <w:szCs w:val="20"/>
                <w:lang w:val="en-US"/>
              </w:rPr>
            </w:pPr>
          </w:p>
        </w:tc>
        <w:tc>
          <w:tcPr>
            <w:tcW w:w="1450" w:type="dxa"/>
            <w:tcBorders>
              <w:bottom w:val="single" w:sz="4" w:space="0" w:color="auto"/>
            </w:tcBorders>
            <w:vAlign w:val="center"/>
          </w:tcPr>
          <w:p w14:paraId="2905FA47"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984" w:type="dxa"/>
            <w:tcBorders>
              <w:bottom w:val="single" w:sz="4" w:space="0" w:color="auto"/>
            </w:tcBorders>
            <w:vAlign w:val="center"/>
          </w:tcPr>
          <w:p w14:paraId="655F2B7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0.974</w:t>
            </w:r>
          </w:p>
        </w:tc>
        <w:tc>
          <w:tcPr>
            <w:tcW w:w="1985" w:type="dxa"/>
            <w:tcBorders>
              <w:bottom w:val="single" w:sz="4" w:space="0" w:color="auto"/>
            </w:tcBorders>
            <w:vAlign w:val="center"/>
          </w:tcPr>
          <w:p w14:paraId="0F1269F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0.841</w:t>
            </w:r>
          </w:p>
        </w:tc>
        <w:tc>
          <w:tcPr>
            <w:tcW w:w="1985" w:type="dxa"/>
            <w:tcBorders>
              <w:bottom w:val="single" w:sz="4" w:space="0" w:color="auto"/>
            </w:tcBorders>
            <w:vAlign w:val="center"/>
          </w:tcPr>
          <w:p w14:paraId="5078E3E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0.169</w:t>
            </w:r>
          </w:p>
        </w:tc>
        <w:tc>
          <w:tcPr>
            <w:tcW w:w="950" w:type="dxa"/>
            <w:tcBorders>
              <w:bottom w:val="single" w:sz="4" w:space="0" w:color="auto"/>
            </w:tcBorders>
            <w:vAlign w:val="center"/>
          </w:tcPr>
          <w:p w14:paraId="48CB07D4" w14:textId="77777777" w:rsidR="008B5297" w:rsidRPr="00C116D5" w:rsidRDefault="008B5297" w:rsidP="00023145">
            <w:pPr>
              <w:jc w:val="center"/>
              <w:rPr>
                <w:rFonts w:ascii="Arial" w:hAnsi="Arial" w:cs="Arial"/>
                <w:sz w:val="20"/>
                <w:szCs w:val="20"/>
                <w:lang w:val="en-US"/>
              </w:rPr>
            </w:pPr>
          </w:p>
        </w:tc>
      </w:tr>
      <w:tr w:rsidR="008B5297" w:rsidRPr="00C116D5" w14:paraId="78CDEF64" w14:textId="77777777" w:rsidTr="00023145">
        <w:tc>
          <w:tcPr>
            <w:tcW w:w="2093" w:type="dxa"/>
            <w:shd w:val="clear" w:color="auto" w:fill="A6A6A6" w:themeFill="background1" w:themeFillShade="A6"/>
            <w:vAlign w:val="center"/>
          </w:tcPr>
          <w:p w14:paraId="5E3F6A2B" w14:textId="77777777" w:rsidR="008B5297" w:rsidRPr="00C116D5" w:rsidRDefault="008B5297" w:rsidP="00023145">
            <w:pPr>
              <w:rPr>
                <w:rFonts w:ascii="Arial" w:hAnsi="Arial" w:cs="Arial"/>
                <w:sz w:val="20"/>
                <w:szCs w:val="20"/>
                <w:lang w:val="en-US"/>
              </w:rPr>
            </w:pPr>
          </w:p>
        </w:tc>
        <w:tc>
          <w:tcPr>
            <w:tcW w:w="1450" w:type="dxa"/>
            <w:shd w:val="clear" w:color="auto" w:fill="A6A6A6" w:themeFill="background1" w:themeFillShade="A6"/>
            <w:vAlign w:val="center"/>
          </w:tcPr>
          <w:p w14:paraId="41D8E477" w14:textId="77777777" w:rsidR="008B5297" w:rsidRPr="00C116D5" w:rsidRDefault="008B5297" w:rsidP="00023145">
            <w:pPr>
              <w:rPr>
                <w:rFonts w:ascii="Arial" w:hAnsi="Arial" w:cs="Arial"/>
                <w:sz w:val="20"/>
                <w:szCs w:val="20"/>
                <w:lang w:val="en-US"/>
              </w:rPr>
            </w:pPr>
          </w:p>
        </w:tc>
        <w:tc>
          <w:tcPr>
            <w:tcW w:w="1984" w:type="dxa"/>
            <w:shd w:val="clear" w:color="auto" w:fill="A6A6A6" w:themeFill="background1" w:themeFillShade="A6"/>
            <w:vAlign w:val="center"/>
          </w:tcPr>
          <w:p w14:paraId="38C171D6" w14:textId="77777777" w:rsidR="008B5297" w:rsidRPr="00C116D5" w:rsidRDefault="008B5297" w:rsidP="00023145">
            <w:pPr>
              <w:jc w:val="center"/>
              <w:rPr>
                <w:rFonts w:ascii="Arial" w:hAnsi="Arial" w:cs="Arial"/>
                <w:sz w:val="20"/>
                <w:szCs w:val="20"/>
                <w:lang w:val="en-US"/>
              </w:rPr>
            </w:pPr>
          </w:p>
        </w:tc>
        <w:tc>
          <w:tcPr>
            <w:tcW w:w="1985" w:type="dxa"/>
            <w:shd w:val="clear" w:color="auto" w:fill="A6A6A6" w:themeFill="background1" w:themeFillShade="A6"/>
            <w:vAlign w:val="center"/>
          </w:tcPr>
          <w:p w14:paraId="7038F8F4" w14:textId="77777777" w:rsidR="008B5297" w:rsidRPr="00C116D5" w:rsidRDefault="008B5297" w:rsidP="00023145">
            <w:pPr>
              <w:jc w:val="center"/>
              <w:rPr>
                <w:rFonts w:ascii="Arial" w:hAnsi="Arial" w:cs="Arial"/>
                <w:sz w:val="20"/>
                <w:szCs w:val="20"/>
                <w:lang w:val="en-US"/>
              </w:rPr>
            </w:pPr>
          </w:p>
        </w:tc>
        <w:tc>
          <w:tcPr>
            <w:tcW w:w="1985" w:type="dxa"/>
            <w:shd w:val="clear" w:color="auto" w:fill="A6A6A6" w:themeFill="background1" w:themeFillShade="A6"/>
            <w:vAlign w:val="center"/>
          </w:tcPr>
          <w:p w14:paraId="54B39D27" w14:textId="77777777" w:rsidR="008B5297" w:rsidRPr="00C116D5" w:rsidRDefault="008B5297" w:rsidP="00023145">
            <w:pPr>
              <w:jc w:val="center"/>
              <w:rPr>
                <w:rFonts w:ascii="Arial" w:hAnsi="Arial" w:cs="Arial"/>
                <w:sz w:val="20"/>
                <w:szCs w:val="20"/>
                <w:lang w:val="en-US"/>
              </w:rPr>
            </w:pPr>
          </w:p>
        </w:tc>
        <w:tc>
          <w:tcPr>
            <w:tcW w:w="950" w:type="dxa"/>
            <w:shd w:val="clear" w:color="auto" w:fill="A6A6A6" w:themeFill="background1" w:themeFillShade="A6"/>
            <w:vAlign w:val="center"/>
          </w:tcPr>
          <w:p w14:paraId="09A0CC65" w14:textId="77777777" w:rsidR="008B5297" w:rsidRPr="00C116D5" w:rsidRDefault="008B5297" w:rsidP="00023145">
            <w:pPr>
              <w:jc w:val="center"/>
              <w:rPr>
                <w:rFonts w:ascii="Arial" w:hAnsi="Arial" w:cs="Arial"/>
                <w:sz w:val="20"/>
                <w:szCs w:val="20"/>
                <w:lang w:val="en-US"/>
              </w:rPr>
            </w:pPr>
          </w:p>
        </w:tc>
      </w:tr>
      <w:tr w:rsidR="008B5297" w:rsidRPr="00C116D5" w14:paraId="4F1995AA" w14:textId="77777777" w:rsidTr="00023145">
        <w:trPr>
          <w:trHeight w:val="690"/>
        </w:trPr>
        <w:tc>
          <w:tcPr>
            <w:tcW w:w="2093" w:type="dxa"/>
            <w:vMerge w:val="restart"/>
            <w:vAlign w:val="center"/>
          </w:tcPr>
          <w:p w14:paraId="0F65D215" w14:textId="77777777" w:rsidR="008B5297" w:rsidRPr="00C116D5" w:rsidRDefault="008B5297" w:rsidP="00023145">
            <w:pPr>
              <w:rPr>
                <w:rFonts w:ascii="Arial" w:hAnsi="Arial" w:cs="Arial"/>
                <w:sz w:val="20"/>
                <w:szCs w:val="20"/>
                <w:lang w:val="en-US"/>
              </w:rPr>
            </w:pPr>
            <w:r>
              <w:rPr>
                <w:rFonts w:ascii="Arial" w:hAnsi="Arial" w:cs="Arial"/>
                <w:b/>
                <w:sz w:val="20"/>
                <w:szCs w:val="20"/>
                <w:lang w:val="en-US"/>
              </w:rPr>
              <w:t>VFS</w:t>
            </w:r>
          </w:p>
        </w:tc>
        <w:tc>
          <w:tcPr>
            <w:tcW w:w="1450" w:type="dxa"/>
            <w:vAlign w:val="center"/>
          </w:tcPr>
          <w:p w14:paraId="503921C1"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QQ</w:t>
            </w:r>
          </w:p>
        </w:tc>
        <w:tc>
          <w:tcPr>
            <w:tcW w:w="1984" w:type="dxa"/>
            <w:vAlign w:val="center"/>
          </w:tcPr>
          <w:p w14:paraId="3AD0D6C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2.7 ± 0.8</w:t>
            </w:r>
          </w:p>
          <w:p w14:paraId="78CD9A0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 (2.0 – 3.0)</w:t>
            </w:r>
          </w:p>
        </w:tc>
        <w:tc>
          <w:tcPr>
            <w:tcW w:w="1985" w:type="dxa"/>
            <w:vAlign w:val="center"/>
          </w:tcPr>
          <w:p w14:paraId="029B5F7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1DAAB04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1985" w:type="dxa"/>
            <w:vAlign w:val="center"/>
          </w:tcPr>
          <w:p w14:paraId="3838546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640BCDE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950" w:type="dxa"/>
            <w:vAlign w:val="center"/>
          </w:tcPr>
          <w:p w14:paraId="33E653B5"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26262338"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2021D45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c</w:t>
            </w:r>
          </w:p>
          <w:p w14:paraId="4CDCD664"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4CC7664E" w14:textId="77777777" w:rsidTr="00023145">
        <w:trPr>
          <w:trHeight w:val="690"/>
        </w:trPr>
        <w:tc>
          <w:tcPr>
            <w:tcW w:w="2093" w:type="dxa"/>
            <w:vMerge/>
            <w:vAlign w:val="center"/>
          </w:tcPr>
          <w:p w14:paraId="238F84B5" w14:textId="77777777" w:rsidR="008B5297" w:rsidRPr="00C116D5" w:rsidRDefault="008B5297" w:rsidP="00023145">
            <w:pPr>
              <w:rPr>
                <w:rFonts w:ascii="Arial" w:hAnsi="Arial" w:cs="Arial"/>
                <w:sz w:val="20"/>
                <w:szCs w:val="20"/>
                <w:lang w:val="en-US"/>
              </w:rPr>
            </w:pPr>
          </w:p>
        </w:tc>
        <w:tc>
          <w:tcPr>
            <w:tcW w:w="1450" w:type="dxa"/>
            <w:vAlign w:val="center"/>
          </w:tcPr>
          <w:p w14:paraId="53E2E773"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QR</w:t>
            </w:r>
            <w:r w:rsidRPr="00C116D5">
              <w:rPr>
                <w:rFonts w:ascii="Arial" w:hAnsi="Arial" w:cs="Arial"/>
                <w:sz w:val="20"/>
                <w:szCs w:val="20"/>
                <w:lang w:val="en-US"/>
              </w:rPr>
              <w:t xml:space="preserve">+ </w:t>
            </w:r>
            <w:r w:rsidRPr="003654C8">
              <w:rPr>
                <w:rFonts w:ascii="Arial" w:hAnsi="Arial" w:cs="Arial"/>
                <w:i/>
                <w:sz w:val="20"/>
                <w:szCs w:val="20"/>
                <w:lang w:val="en-US"/>
              </w:rPr>
              <w:t>RR</w:t>
            </w:r>
          </w:p>
        </w:tc>
        <w:tc>
          <w:tcPr>
            <w:tcW w:w="1984" w:type="dxa"/>
            <w:vAlign w:val="center"/>
          </w:tcPr>
          <w:p w14:paraId="42D5FC7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2.6 ± 0.8</w:t>
            </w:r>
          </w:p>
          <w:p w14:paraId="2644662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2.0 (2.0 – 3.0)</w:t>
            </w:r>
          </w:p>
        </w:tc>
        <w:tc>
          <w:tcPr>
            <w:tcW w:w="1985" w:type="dxa"/>
            <w:vAlign w:val="center"/>
          </w:tcPr>
          <w:p w14:paraId="2910EEF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09AB738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1985" w:type="dxa"/>
            <w:vAlign w:val="center"/>
          </w:tcPr>
          <w:p w14:paraId="117C1C6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0.0</w:t>
            </w:r>
          </w:p>
          <w:p w14:paraId="615A2F6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(1.0 – 1.0)</w:t>
            </w:r>
          </w:p>
        </w:tc>
        <w:tc>
          <w:tcPr>
            <w:tcW w:w="950" w:type="dxa"/>
            <w:vAlign w:val="center"/>
          </w:tcPr>
          <w:p w14:paraId="5BDA2F2E"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5C50D598"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241F18EA"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c</w:t>
            </w:r>
          </w:p>
          <w:p w14:paraId="580B83AD"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6C3EDAFF" w14:textId="77777777" w:rsidTr="00023145">
        <w:tc>
          <w:tcPr>
            <w:tcW w:w="2093" w:type="dxa"/>
            <w:vMerge/>
            <w:vAlign w:val="center"/>
          </w:tcPr>
          <w:p w14:paraId="18AC8BBD" w14:textId="77777777" w:rsidR="008B5297" w:rsidRPr="00C116D5" w:rsidRDefault="008B5297" w:rsidP="00023145">
            <w:pPr>
              <w:rPr>
                <w:rFonts w:ascii="Arial" w:hAnsi="Arial" w:cs="Arial"/>
                <w:sz w:val="20"/>
                <w:szCs w:val="20"/>
                <w:lang w:val="en-US"/>
              </w:rPr>
            </w:pPr>
          </w:p>
        </w:tc>
        <w:tc>
          <w:tcPr>
            <w:tcW w:w="1450" w:type="dxa"/>
            <w:vAlign w:val="center"/>
          </w:tcPr>
          <w:p w14:paraId="2E799D7D"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984" w:type="dxa"/>
            <w:vAlign w:val="center"/>
          </w:tcPr>
          <w:p w14:paraId="0A9B975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0.375</w:t>
            </w:r>
          </w:p>
        </w:tc>
        <w:tc>
          <w:tcPr>
            <w:tcW w:w="1985" w:type="dxa"/>
            <w:vAlign w:val="center"/>
          </w:tcPr>
          <w:p w14:paraId="0E0A5AD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1.000</w:t>
            </w:r>
          </w:p>
        </w:tc>
        <w:tc>
          <w:tcPr>
            <w:tcW w:w="1985" w:type="dxa"/>
            <w:vAlign w:val="center"/>
          </w:tcPr>
          <w:p w14:paraId="3E4AFF2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1.000</w:t>
            </w:r>
          </w:p>
        </w:tc>
        <w:tc>
          <w:tcPr>
            <w:tcW w:w="950" w:type="dxa"/>
            <w:vAlign w:val="center"/>
          </w:tcPr>
          <w:p w14:paraId="5E2C8032" w14:textId="77777777" w:rsidR="008B5297" w:rsidRPr="00C116D5" w:rsidRDefault="008B5297" w:rsidP="00023145">
            <w:pPr>
              <w:jc w:val="center"/>
              <w:rPr>
                <w:rFonts w:ascii="Arial" w:hAnsi="Arial" w:cs="Arial"/>
                <w:sz w:val="20"/>
                <w:szCs w:val="20"/>
                <w:lang w:val="en-US"/>
              </w:rPr>
            </w:pPr>
          </w:p>
        </w:tc>
      </w:tr>
      <w:tr w:rsidR="008B5297" w:rsidRPr="00C116D5" w14:paraId="147FBF3A" w14:textId="77777777" w:rsidTr="00023145">
        <w:tc>
          <w:tcPr>
            <w:tcW w:w="2093" w:type="dxa"/>
            <w:shd w:val="clear" w:color="auto" w:fill="A6A6A6" w:themeFill="background1" w:themeFillShade="A6"/>
            <w:vAlign w:val="center"/>
          </w:tcPr>
          <w:p w14:paraId="42646ADD" w14:textId="77777777" w:rsidR="008B5297" w:rsidRPr="00C116D5" w:rsidRDefault="008B5297" w:rsidP="00023145">
            <w:pPr>
              <w:rPr>
                <w:rFonts w:ascii="Arial" w:hAnsi="Arial" w:cs="Arial"/>
                <w:sz w:val="20"/>
                <w:szCs w:val="20"/>
                <w:lang w:val="en-US"/>
              </w:rPr>
            </w:pPr>
          </w:p>
        </w:tc>
        <w:tc>
          <w:tcPr>
            <w:tcW w:w="1450" w:type="dxa"/>
            <w:shd w:val="clear" w:color="auto" w:fill="A6A6A6" w:themeFill="background1" w:themeFillShade="A6"/>
            <w:vAlign w:val="center"/>
          </w:tcPr>
          <w:p w14:paraId="21646E70" w14:textId="77777777" w:rsidR="008B5297" w:rsidRPr="00C116D5" w:rsidRDefault="008B5297" w:rsidP="00023145">
            <w:pPr>
              <w:rPr>
                <w:rFonts w:ascii="Arial" w:hAnsi="Arial" w:cs="Arial"/>
                <w:sz w:val="20"/>
                <w:szCs w:val="20"/>
                <w:lang w:val="en-US"/>
              </w:rPr>
            </w:pPr>
          </w:p>
        </w:tc>
        <w:tc>
          <w:tcPr>
            <w:tcW w:w="1984" w:type="dxa"/>
            <w:shd w:val="clear" w:color="auto" w:fill="A6A6A6" w:themeFill="background1" w:themeFillShade="A6"/>
            <w:vAlign w:val="center"/>
          </w:tcPr>
          <w:p w14:paraId="24ED8379" w14:textId="77777777" w:rsidR="008B5297" w:rsidRPr="00C116D5" w:rsidRDefault="008B5297" w:rsidP="00023145">
            <w:pPr>
              <w:jc w:val="center"/>
              <w:rPr>
                <w:rFonts w:ascii="Arial" w:hAnsi="Arial" w:cs="Arial"/>
                <w:sz w:val="20"/>
                <w:szCs w:val="20"/>
                <w:lang w:val="en-US"/>
              </w:rPr>
            </w:pPr>
          </w:p>
        </w:tc>
        <w:tc>
          <w:tcPr>
            <w:tcW w:w="1985" w:type="dxa"/>
            <w:shd w:val="clear" w:color="auto" w:fill="A6A6A6" w:themeFill="background1" w:themeFillShade="A6"/>
            <w:vAlign w:val="center"/>
          </w:tcPr>
          <w:p w14:paraId="46D9890E" w14:textId="77777777" w:rsidR="008B5297" w:rsidRPr="00C116D5" w:rsidRDefault="008B5297" w:rsidP="00023145">
            <w:pPr>
              <w:jc w:val="center"/>
              <w:rPr>
                <w:rFonts w:ascii="Arial" w:hAnsi="Arial" w:cs="Arial"/>
                <w:sz w:val="20"/>
                <w:szCs w:val="20"/>
                <w:lang w:val="en-US"/>
              </w:rPr>
            </w:pPr>
          </w:p>
        </w:tc>
        <w:tc>
          <w:tcPr>
            <w:tcW w:w="1985" w:type="dxa"/>
            <w:shd w:val="clear" w:color="auto" w:fill="A6A6A6" w:themeFill="background1" w:themeFillShade="A6"/>
            <w:vAlign w:val="center"/>
          </w:tcPr>
          <w:p w14:paraId="226BBE99" w14:textId="77777777" w:rsidR="008B5297" w:rsidRPr="00C116D5" w:rsidRDefault="008B5297" w:rsidP="00023145">
            <w:pPr>
              <w:jc w:val="center"/>
              <w:rPr>
                <w:rFonts w:ascii="Arial" w:hAnsi="Arial" w:cs="Arial"/>
                <w:sz w:val="20"/>
                <w:szCs w:val="20"/>
                <w:lang w:val="en-US"/>
              </w:rPr>
            </w:pPr>
          </w:p>
        </w:tc>
        <w:tc>
          <w:tcPr>
            <w:tcW w:w="950" w:type="dxa"/>
            <w:shd w:val="clear" w:color="auto" w:fill="A6A6A6" w:themeFill="background1" w:themeFillShade="A6"/>
            <w:vAlign w:val="center"/>
          </w:tcPr>
          <w:p w14:paraId="1A7BA543" w14:textId="77777777" w:rsidR="008B5297" w:rsidRPr="00C116D5" w:rsidRDefault="008B5297" w:rsidP="00023145">
            <w:pPr>
              <w:jc w:val="center"/>
              <w:rPr>
                <w:rFonts w:ascii="Arial" w:hAnsi="Arial" w:cs="Arial"/>
                <w:sz w:val="20"/>
                <w:szCs w:val="20"/>
                <w:lang w:val="en-US"/>
              </w:rPr>
            </w:pPr>
          </w:p>
        </w:tc>
      </w:tr>
      <w:tr w:rsidR="008B5297" w:rsidRPr="00C116D5" w14:paraId="7E68A4B7" w14:textId="77777777" w:rsidTr="00023145">
        <w:trPr>
          <w:trHeight w:val="690"/>
        </w:trPr>
        <w:tc>
          <w:tcPr>
            <w:tcW w:w="2093" w:type="dxa"/>
            <w:vMerge w:val="restart"/>
            <w:vAlign w:val="center"/>
          </w:tcPr>
          <w:p w14:paraId="03D7DD47" w14:textId="77777777" w:rsidR="008B5297" w:rsidRPr="00C116D5" w:rsidRDefault="008B5297" w:rsidP="00023145">
            <w:pPr>
              <w:rPr>
                <w:rFonts w:ascii="Arial" w:hAnsi="Arial" w:cs="Arial"/>
                <w:sz w:val="20"/>
                <w:szCs w:val="20"/>
                <w:lang w:val="en-US"/>
              </w:rPr>
            </w:pPr>
            <w:r w:rsidRPr="00C116D5">
              <w:rPr>
                <w:rFonts w:ascii="Arial" w:hAnsi="Arial" w:cs="Arial"/>
                <w:b/>
                <w:sz w:val="20"/>
                <w:szCs w:val="20"/>
                <w:lang w:val="en-US"/>
              </w:rPr>
              <w:t>MD</w:t>
            </w:r>
          </w:p>
        </w:tc>
        <w:tc>
          <w:tcPr>
            <w:tcW w:w="1450" w:type="dxa"/>
            <w:vAlign w:val="center"/>
          </w:tcPr>
          <w:p w14:paraId="0B50B208"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QQ</w:t>
            </w:r>
          </w:p>
        </w:tc>
        <w:tc>
          <w:tcPr>
            <w:tcW w:w="1984" w:type="dxa"/>
            <w:vAlign w:val="center"/>
          </w:tcPr>
          <w:p w14:paraId="31CA8A1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-6.9 ± 5.5</w:t>
            </w:r>
          </w:p>
          <w:p w14:paraId="42205C2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-4.5 (-8.1 – -3.1)</w:t>
            </w:r>
          </w:p>
        </w:tc>
        <w:tc>
          <w:tcPr>
            <w:tcW w:w="1985" w:type="dxa"/>
            <w:vAlign w:val="center"/>
          </w:tcPr>
          <w:p w14:paraId="6E7B850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0.5</w:t>
            </w:r>
          </w:p>
          <w:p w14:paraId="13AA4C7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-1.1 (-1.5 – -0.6)</w:t>
            </w:r>
          </w:p>
        </w:tc>
        <w:tc>
          <w:tcPr>
            <w:tcW w:w="1985" w:type="dxa"/>
            <w:vAlign w:val="center"/>
          </w:tcPr>
          <w:p w14:paraId="0744F1B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-0.9 ± 0.6</w:t>
            </w:r>
          </w:p>
          <w:p w14:paraId="7AF9A39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-0.7 (-1.3 – -0.4)</w:t>
            </w:r>
          </w:p>
        </w:tc>
        <w:tc>
          <w:tcPr>
            <w:tcW w:w="950" w:type="dxa"/>
            <w:vAlign w:val="center"/>
          </w:tcPr>
          <w:p w14:paraId="5605B4D7"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33F785FB"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39DBBAE9"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0.051</w:t>
            </w:r>
            <w:r w:rsidRPr="00C116D5">
              <w:rPr>
                <w:rFonts w:ascii="Arial" w:hAnsi="Arial" w:cs="Arial"/>
                <w:sz w:val="20"/>
                <w:szCs w:val="20"/>
                <w:vertAlign w:val="superscript"/>
                <w:lang w:val="en-US"/>
              </w:rPr>
              <w:t>c</w:t>
            </w:r>
          </w:p>
          <w:p w14:paraId="3D9E567C"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17131C75" w14:textId="77777777" w:rsidTr="00023145">
        <w:trPr>
          <w:trHeight w:val="690"/>
        </w:trPr>
        <w:tc>
          <w:tcPr>
            <w:tcW w:w="2093" w:type="dxa"/>
            <w:vMerge/>
            <w:vAlign w:val="center"/>
          </w:tcPr>
          <w:p w14:paraId="0F84003D" w14:textId="77777777" w:rsidR="008B5297" w:rsidRPr="00C116D5" w:rsidRDefault="008B5297" w:rsidP="00023145">
            <w:pPr>
              <w:rPr>
                <w:rFonts w:ascii="Arial" w:hAnsi="Arial" w:cs="Arial"/>
                <w:sz w:val="20"/>
                <w:szCs w:val="20"/>
                <w:lang w:val="en-US"/>
              </w:rPr>
            </w:pPr>
          </w:p>
        </w:tc>
        <w:tc>
          <w:tcPr>
            <w:tcW w:w="1450" w:type="dxa"/>
            <w:vAlign w:val="center"/>
          </w:tcPr>
          <w:p w14:paraId="5609CC19"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QR</w:t>
            </w:r>
            <w:r w:rsidRPr="00C116D5">
              <w:rPr>
                <w:rFonts w:ascii="Arial" w:hAnsi="Arial" w:cs="Arial"/>
                <w:sz w:val="20"/>
                <w:szCs w:val="20"/>
                <w:lang w:val="en-US"/>
              </w:rPr>
              <w:t xml:space="preserve">+ </w:t>
            </w:r>
            <w:r w:rsidRPr="003654C8">
              <w:rPr>
                <w:rFonts w:ascii="Arial" w:hAnsi="Arial" w:cs="Arial"/>
                <w:i/>
                <w:sz w:val="20"/>
                <w:szCs w:val="20"/>
                <w:lang w:val="en-US"/>
              </w:rPr>
              <w:t>RR</w:t>
            </w:r>
          </w:p>
        </w:tc>
        <w:tc>
          <w:tcPr>
            <w:tcW w:w="1984" w:type="dxa"/>
            <w:vAlign w:val="center"/>
          </w:tcPr>
          <w:p w14:paraId="50E7ADC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-6.3 ± 6.0</w:t>
            </w:r>
          </w:p>
          <w:p w14:paraId="63037FB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-3.7 (-7.3 – -2.4)</w:t>
            </w:r>
          </w:p>
        </w:tc>
        <w:tc>
          <w:tcPr>
            <w:tcW w:w="1985" w:type="dxa"/>
            <w:vAlign w:val="center"/>
          </w:tcPr>
          <w:p w14:paraId="18468A8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-1.0 ± 0.6</w:t>
            </w:r>
          </w:p>
          <w:p w14:paraId="653E60F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-0.8 (-1.6 – -0.4)</w:t>
            </w:r>
          </w:p>
        </w:tc>
        <w:tc>
          <w:tcPr>
            <w:tcW w:w="1985" w:type="dxa"/>
            <w:vAlign w:val="center"/>
          </w:tcPr>
          <w:p w14:paraId="251A0B5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-0.9 ± 0.6</w:t>
            </w:r>
          </w:p>
          <w:p w14:paraId="7330EF6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-0.8 (-1.4 – -0,4)</w:t>
            </w:r>
          </w:p>
        </w:tc>
        <w:tc>
          <w:tcPr>
            <w:tcW w:w="950" w:type="dxa"/>
            <w:vAlign w:val="center"/>
          </w:tcPr>
          <w:p w14:paraId="375C249F"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64F5AD38"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400325CB"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0.393</w:t>
            </w:r>
            <w:r w:rsidRPr="00C116D5">
              <w:rPr>
                <w:rFonts w:ascii="Arial" w:hAnsi="Arial" w:cs="Arial"/>
                <w:sz w:val="20"/>
                <w:szCs w:val="20"/>
                <w:vertAlign w:val="superscript"/>
                <w:lang w:val="en-US"/>
              </w:rPr>
              <w:t>c</w:t>
            </w:r>
          </w:p>
          <w:p w14:paraId="53CDBE8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6F164F54" w14:textId="77777777" w:rsidTr="00023145">
        <w:tc>
          <w:tcPr>
            <w:tcW w:w="2093" w:type="dxa"/>
            <w:vMerge/>
            <w:vAlign w:val="center"/>
          </w:tcPr>
          <w:p w14:paraId="53377F0F" w14:textId="77777777" w:rsidR="008B5297" w:rsidRPr="00C116D5" w:rsidRDefault="008B5297" w:rsidP="00023145">
            <w:pPr>
              <w:rPr>
                <w:rFonts w:ascii="Arial" w:hAnsi="Arial" w:cs="Arial"/>
                <w:sz w:val="20"/>
                <w:szCs w:val="20"/>
                <w:lang w:val="en-US"/>
              </w:rPr>
            </w:pPr>
          </w:p>
        </w:tc>
        <w:tc>
          <w:tcPr>
            <w:tcW w:w="1450" w:type="dxa"/>
            <w:vAlign w:val="center"/>
          </w:tcPr>
          <w:p w14:paraId="13123207"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984" w:type="dxa"/>
            <w:vAlign w:val="center"/>
          </w:tcPr>
          <w:p w14:paraId="3C15E64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0.148</w:t>
            </w:r>
          </w:p>
        </w:tc>
        <w:tc>
          <w:tcPr>
            <w:tcW w:w="1985" w:type="dxa"/>
            <w:vAlign w:val="center"/>
          </w:tcPr>
          <w:p w14:paraId="2F2FD9F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0.644</w:t>
            </w:r>
          </w:p>
        </w:tc>
        <w:tc>
          <w:tcPr>
            <w:tcW w:w="1985" w:type="dxa"/>
            <w:vAlign w:val="center"/>
          </w:tcPr>
          <w:p w14:paraId="59C94D4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0.547</w:t>
            </w:r>
          </w:p>
        </w:tc>
        <w:tc>
          <w:tcPr>
            <w:tcW w:w="950" w:type="dxa"/>
            <w:vAlign w:val="center"/>
          </w:tcPr>
          <w:p w14:paraId="1AA60B90" w14:textId="77777777" w:rsidR="008B5297" w:rsidRPr="00C116D5" w:rsidRDefault="008B5297" w:rsidP="00023145">
            <w:pPr>
              <w:jc w:val="center"/>
              <w:rPr>
                <w:rFonts w:ascii="Arial" w:hAnsi="Arial" w:cs="Arial"/>
                <w:sz w:val="20"/>
                <w:szCs w:val="20"/>
                <w:lang w:val="en-US"/>
              </w:rPr>
            </w:pPr>
          </w:p>
        </w:tc>
      </w:tr>
      <w:tr w:rsidR="008B5297" w:rsidRPr="00C116D5" w14:paraId="02975337" w14:textId="77777777" w:rsidTr="00023145">
        <w:tc>
          <w:tcPr>
            <w:tcW w:w="2093" w:type="dxa"/>
            <w:shd w:val="clear" w:color="auto" w:fill="A6A6A6" w:themeFill="background1" w:themeFillShade="A6"/>
            <w:vAlign w:val="center"/>
          </w:tcPr>
          <w:p w14:paraId="45EE3650" w14:textId="77777777" w:rsidR="008B5297" w:rsidRPr="00C116D5" w:rsidRDefault="008B5297" w:rsidP="00023145">
            <w:pPr>
              <w:rPr>
                <w:rFonts w:ascii="Arial" w:hAnsi="Arial" w:cs="Arial"/>
                <w:sz w:val="20"/>
                <w:szCs w:val="20"/>
                <w:lang w:val="en-US"/>
              </w:rPr>
            </w:pPr>
          </w:p>
        </w:tc>
        <w:tc>
          <w:tcPr>
            <w:tcW w:w="1450" w:type="dxa"/>
            <w:shd w:val="clear" w:color="auto" w:fill="A6A6A6" w:themeFill="background1" w:themeFillShade="A6"/>
            <w:vAlign w:val="center"/>
          </w:tcPr>
          <w:p w14:paraId="5EA66B02" w14:textId="77777777" w:rsidR="008B5297" w:rsidRPr="00C116D5" w:rsidRDefault="008B5297" w:rsidP="00023145">
            <w:pPr>
              <w:rPr>
                <w:rFonts w:ascii="Arial" w:hAnsi="Arial" w:cs="Arial"/>
                <w:sz w:val="20"/>
                <w:szCs w:val="20"/>
                <w:lang w:val="en-US"/>
              </w:rPr>
            </w:pPr>
          </w:p>
        </w:tc>
        <w:tc>
          <w:tcPr>
            <w:tcW w:w="1984" w:type="dxa"/>
            <w:shd w:val="clear" w:color="auto" w:fill="A6A6A6" w:themeFill="background1" w:themeFillShade="A6"/>
            <w:vAlign w:val="center"/>
          </w:tcPr>
          <w:p w14:paraId="316424A9" w14:textId="77777777" w:rsidR="008B5297" w:rsidRPr="00C116D5" w:rsidRDefault="008B5297" w:rsidP="00023145">
            <w:pPr>
              <w:jc w:val="center"/>
              <w:rPr>
                <w:rFonts w:ascii="Arial" w:hAnsi="Arial" w:cs="Arial"/>
                <w:sz w:val="20"/>
                <w:szCs w:val="20"/>
                <w:lang w:val="en-US"/>
              </w:rPr>
            </w:pPr>
          </w:p>
        </w:tc>
        <w:tc>
          <w:tcPr>
            <w:tcW w:w="1985" w:type="dxa"/>
            <w:shd w:val="clear" w:color="auto" w:fill="A6A6A6" w:themeFill="background1" w:themeFillShade="A6"/>
            <w:vAlign w:val="center"/>
          </w:tcPr>
          <w:p w14:paraId="69DF47AD" w14:textId="77777777" w:rsidR="008B5297" w:rsidRPr="00C116D5" w:rsidRDefault="008B5297" w:rsidP="00023145">
            <w:pPr>
              <w:jc w:val="center"/>
              <w:rPr>
                <w:rFonts w:ascii="Arial" w:hAnsi="Arial" w:cs="Arial"/>
                <w:sz w:val="20"/>
                <w:szCs w:val="20"/>
                <w:lang w:val="en-US"/>
              </w:rPr>
            </w:pPr>
          </w:p>
        </w:tc>
        <w:tc>
          <w:tcPr>
            <w:tcW w:w="1985" w:type="dxa"/>
            <w:shd w:val="clear" w:color="auto" w:fill="A6A6A6" w:themeFill="background1" w:themeFillShade="A6"/>
            <w:vAlign w:val="center"/>
          </w:tcPr>
          <w:p w14:paraId="35CDA159" w14:textId="77777777" w:rsidR="008B5297" w:rsidRPr="00C116D5" w:rsidRDefault="008B5297" w:rsidP="00023145">
            <w:pPr>
              <w:jc w:val="center"/>
              <w:rPr>
                <w:rFonts w:ascii="Arial" w:hAnsi="Arial" w:cs="Arial"/>
                <w:sz w:val="20"/>
                <w:szCs w:val="20"/>
                <w:lang w:val="en-US"/>
              </w:rPr>
            </w:pPr>
          </w:p>
        </w:tc>
        <w:tc>
          <w:tcPr>
            <w:tcW w:w="950" w:type="dxa"/>
            <w:shd w:val="clear" w:color="auto" w:fill="A6A6A6" w:themeFill="background1" w:themeFillShade="A6"/>
            <w:vAlign w:val="center"/>
          </w:tcPr>
          <w:p w14:paraId="2CB3A395" w14:textId="77777777" w:rsidR="008B5297" w:rsidRPr="00C116D5" w:rsidRDefault="008B5297" w:rsidP="00023145">
            <w:pPr>
              <w:jc w:val="center"/>
              <w:rPr>
                <w:rFonts w:ascii="Arial" w:hAnsi="Arial" w:cs="Arial"/>
                <w:sz w:val="20"/>
                <w:szCs w:val="20"/>
                <w:lang w:val="en-US"/>
              </w:rPr>
            </w:pPr>
          </w:p>
        </w:tc>
      </w:tr>
      <w:tr w:rsidR="008B5297" w:rsidRPr="00C116D5" w14:paraId="2CF8FA84" w14:textId="77777777" w:rsidTr="00023145">
        <w:trPr>
          <w:trHeight w:val="690"/>
        </w:trPr>
        <w:tc>
          <w:tcPr>
            <w:tcW w:w="2093" w:type="dxa"/>
            <w:vMerge w:val="restart"/>
            <w:vAlign w:val="center"/>
          </w:tcPr>
          <w:p w14:paraId="02600E6B" w14:textId="77777777" w:rsidR="008B5297" w:rsidRPr="00C116D5" w:rsidRDefault="008B5297" w:rsidP="00023145">
            <w:pPr>
              <w:rPr>
                <w:rFonts w:ascii="Arial" w:hAnsi="Arial" w:cs="Arial"/>
                <w:sz w:val="20"/>
                <w:szCs w:val="20"/>
                <w:lang w:val="en-US"/>
              </w:rPr>
            </w:pPr>
            <w:r w:rsidRPr="00C116D5">
              <w:rPr>
                <w:rFonts w:ascii="Arial" w:hAnsi="Arial" w:cs="Arial"/>
                <w:b/>
                <w:sz w:val="20"/>
                <w:szCs w:val="20"/>
                <w:lang w:val="en-US"/>
              </w:rPr>
              <w:t>PSD</w:t>
            </w:r>
          </w:p>
          <w:p w14:paraId="3A15E382" w14:textId="77777777" w:rsidR="008B5297" w:rsidRPr="00C116D5" w:rsidRDefault="008B5297" w:rsidP="00023145">
            <w:pPr>
              <w:rPr>
                <w:rFonts w:ascii="Arial" w:hAnsi="Arial" w:cs="Arial"/>
                <w:sz w:val="20"/>
                <w:szCs w:val="20"/>
                <w:lang w:val="en-US"/>
              </w:rPr>
            </w:pPr>
          </w:p>
          <w:p w14:paraId="74C5CB62" w14:textId="77777777" w:rsidR="008B5297" w:rsidRPr="00C116D5" w:rsidRDefault="008B5297" w:rsidP="00023145">
            <w:pPr>
              <w:tabs>
                <w:tab w:val="left" w:pos="1302"/>
              </w:tabs>
              <w:rPr>
                <w:rFonts w:ascii="Arial" w:hAnsi="Arial" w:cs="Arial"/>
                <w:sz w:val="20"/>
                <w:szCs w:val="20"/>
                <w:lang w:val="en-US"/>
              </w:rPr>
            </w:pPr>
            <w:r w:rsidRPr="00C116D5">
              <w:rPr>
                <w:rFonts w:ascii="Arial" w:hAnsi="Arial" w:cs="Arial"/>
                <w:sz w:val="20"/>
                <w:szCs w:val="20"/>
                <w:lang w:val="en-US"/>
              </w:rPr>
              <w:tab/>
            </w:r>
          </w:p>
        </w:tc>
        <w:tc>
          <w:tcPr>
            <w:tcW w:w="1450" w:type="dxa"/>
            <w:vAlign w:val="center"/>
          </w:tcPr>
          <w:p w14:paraId="63186D01"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QQ</w:t>
            </w:r>
          </w:p>
        </w:tc>
        <w:tc>
          <w:tcPr>
            <w:tcW w:w="1984" w:type="dxa"/>
            <w:vAlign w:val="center"/>
          </w:tcPr>
          <w:p w14:paraId="3B1AA9B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4.8 ± 3.0</w:t>
            </w:r>
          </w:p>
          <w:p w14:paraId="08EC951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3.7 (2.8 – 6.2)</w:t>
            </w:r>
          </w:p>
        </w:tc>
        <w:tc>
          <w:tcPr>
            <w:tcW w:w="1985" w:type="dxa"/>
            <w:vAlign w:val="center"/>
          </w:tcPr>
          <w:p w14:paraId="77213AA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 0.2</w:t>
            </w:r>
          </w:p>
          <w:p w14:paraId="50D3C639"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(1.3 – 1.7)</w:t>
            </w:r>
          </w:p>
        </w:tc>
        <w:tc>
          <w:tcPr>
            <w:tcW w:w="1985" w:type="dxa"/>
            <w:vAlign w:val="center"/>
          </w:tcPr>
          <w:p w14:paraId="6768635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 0.2</w:t>
            </w:r>
          </w:p>
          <w:p w14:paraId="2AB7799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(1.3 – 1.7)</w:t>
            </w:r>
          </w:p>
        </w:tc>
        <w:tc>
          <w:tcPr>
            <w:tcW w:w="950" w:type="dxa"/>
            <w:vAlign w:val="center"/>
          </w:tcPr>
          <w:p w14:paraId="5BBF604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57DE65C1"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09F279A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0.768</w:t>
            </w:r>
            <w:r w:rsidRPr="00C116D5">
              <w:rPr>
                <w:rFonts w:ascii="Arial" w:hAnsi="Arial" w:cs="Arial"/>
                <w:sz w:val="20"/>
                <w:szCs w:val="20"/>
                <w:vertAlign w:val="superscript"/>
                <w:lang w:val="en-US"/>
              </w:rPr>
              <w:t>c</w:t>
            </w:r>
          </w:p>
          <w:p w14:paraId="3631BBA8"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13FD4EB8" w14:textId="77777777" w:rsidTr="00023145">
        <w:trPr>
          <w:trHeight w:val="690"/>
        </w:trPr>
        <w:tc>
          <w:tcPr>
            <w:tcW w:w="2093" w:type="dxa"/>
            <w:vMerge/>
          </w:tcPr>
          <w:p w14:paraId="66AF75AA" w14:textId="77777777" w:rsidR="008B5297" w:rsidRPr="00C116D5" w:rsidRDefault="008B5297" w:rsidP="00023145">
            <w:pPr>
              <w:rPr>
                <w:rFonts w:ascii="Arial" w:hAnsi="Arial" w:cs="Arial"/>
                <w:sz w:val="20"/>
                <w:szCs w:val="20"/>
                <w:lang w:val="en-US"/>
              </w:rPr>
            </w:pPr>
          </w:p>
        </w:tc>
        <w:tc>
          <w:tcPr>
            <w:tcW w:w="1450" w:type="dxa"/>
            <w:vAlign w:val="center"/>
          </w:tcPr>
          <w:p w14:paraId="7441E12F"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QR</w:t>
            </w:r>
            <w:r w:rsidRPr="00C116D5">
              <w:rPr>
                <w:rFonts w:ascii="Arial" w:hAnsi="Arial" w:cs="Arial"/>
                <w:sz w:val="20"/>
                <w:szCs w:val="20"/>
                <w:lang w:val="en-US"/>
              </w:rPr>
              <w:t xml:space="preserve">+ </w:t>
            </w:r>
            <w:r w:rsidRPr="003654C8">
              <w:rPr>
                <w:rFonts w:ascii="Arial" w:hAnsi="Arial" w:cs="Arial"/>
                <w:i/>
                <w:sz w:val="20"/>
                <w:szCs w:val="20"/>
                <w:lang w:val="en-US"/>
              </w:rPr>
              <w:t>RR</w:t>
            </w:r>
          </w:p>
        </w:tc>
        <w:tc>
          <w:tcPr>
            <w:tcW w:w="1984" w:type="dxa"/>
            <w:vAlign w:val="center"/>
          </w:tcPr>
          <w:p w14:paraId="1E68AD8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5.0 ± 3.2</w:t>
            </w:r>
          </w:p>
          <w:p w14:paraId="30D5EBC9"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4.2 (2.5 – 6.5)</w:t>
            </w:r>
          </w:p>
        </w:tc>
        <w:tc>
          <w:tcPr>
            <w:tcW w:w="1985" w:type="dxa"/>
            <w:vAlign w:val="center"/>
          </w:tcPr>
          <w:p w14:paraId="19C34C66" w14:textId="77777777" w:rsidR="008B5297" w:rsidRPr="00C116D5" w:rsidRDefault="008B5297" w:rsidP="00023145">
            <w:pPr>
              <w:tabs>
                <w:tab w:val="left" w:pos="551"/>
                <w:tab w:val="center" w:pos="884"/>
              </w:tabs>
              <w:jc w:val="center"/>
              <w:rPr>
                <w:rFonts w:ascii="Arial" w:hAnsi="Arial" w:cs="Arial"/>
                <w:sz w:val="20"/>
                <w:szCs w:val="20"/>
                <w:lang w:val="en-US"/>
              </w:rPr>
            </w:pPr>
            <w:r w:rsidRPr="00C116D5">
              <w:rPr>
                <w:rFonts w:ascii="Arial" w:hAnsi="Arial" w:cs="Arial"/>
                <w:color w:val="000000"/>
                <w:sz w:val="20"/>
                <w:szCs w:val="20"/>
                <w:lang w:val="en-US"/>
              </w:rPr>
              <w:t>1.4 ± 0.2</w:t>
            </w:r>
          </w:p>
          <w:p w14:paraId="7456986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1.4 (1.2 – 1.6)</w:t>
            </w:r>
          </w:p>
        </w:tc>
        <w:tc>
          <w:tcPr>
            <w:tcW w:w="1985" w:type="dxa"/>
            <w:vAlign w:val="center"/>
          </w:tcPr>
          <w:p w14:paraId="3920AB5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1.6 ± 0.2</w:t>
            </w:r>
          </w:p>
          <w:p w14:paraId="3559E3E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1.5 (1.3 – 1.6)</w:t>
            </w:r>
          </w:p>
        </w:tc>
        <w:tc>
          <w:tcPr>
            <w:tcW w:w="950" w:type="dxa"/>
            <w:vAlign w:val="center"/>
          </w:tcPr>
          <w:p w14:paraId="5487D5DA"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7A23DEFD" w14:textId="77777777" w:rsidR="008B5297" w:rsidRPr="00C116D5" w:rsidRDefault="008B5297" w:rsidP="00023145">
            <w:pPr>
              <w:jc w:val="center"/>
              <w:rPr>
                <w:rFonts w:ascii="Arial" w:hAnsi="Arial" w:cs="Arial"/>
                <w:sz w:val="20"/>
                <w:szCs w:val="20"/>
                <w:vertAlign w:val="superscript"/>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4D2E8519"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0.126</w:t>
            </w:r>
            <w:r w:rsidRPr="00C116D5">
              <w:rPr>
                <w:rFonts w:ascii="Arial" w:hAnsi="Arial" w:cs="Arial"/>
                <w:sz w:val="20"/>
                <w:szCs w:val="20"/>
                <w:vertAlign w:val="superscript"/>
                <w:lang w:val="en-US"/>
              </w:rPr>
              <w:t>c</w:t>
            </w:r>
          </w:p>
          <w:p w14:paraId="0CB4ED39"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283480F4" w14:textId="77777777" w:rsidTr="00023145">
        <w:tc>
          <w:tcPr>
            <w:tcW w:w="2093" w:type="dxa"/>
            <w:vMerge/>
          </w:tcPr>
          <w:p w14:paraId="77C1A65B" w14:textId="77777777" w:rsidR="008B5297" w:rsidRPr="00C116D5" w:rsidRDefault="008B5297" w:rsidP="00023145">
            <w:pPr>
              <w:rPr>
                <w:rFonts w:ascii="Arial" w:hAnsi="Arial" w:cs="Arial"/>
                <w:sz w:val="20"/>
                <w:szCs w:val="20"/>
                <w:lang w:val="en-US"/>
              </w:rPr>
            </w:pPr>
          </w:p>
        </w:tc>
        <w:tc>
          <w:tcPr>
            <w:tcW w:w="1450" w:type="dxa"/>
            <w:vAlign w:val="center"/>
          </w:tcPr>
          <w:p w14:paraId="5B17F621"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984" w:type="dxa"/>
            <w:vAlign w:val="center"/>
          </w:tcPr>
          <w:p w14:paraId="414A409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0.678</w:t>
            </w:r>
          </w:p>
        </w:tc>
        <w:tc>
          <w:tcPr>
            <w:tcW w:w="1985" w:type="dxa"/>
            <w:vAlign w:val="center"/>
          </w:tcPr>
          <w:p w14:paraId="589D545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0.193</w:t>
            </w:r>
          </w:p>
        </w:tc>
        <w:tc>
          <w:tcPr>
            <w:tcW w:w="1985" w:type="dxa"/>
            <w:vAlign w:val="center"/>
          </w:tcPr>
          <w:p w14:paraId="26BAA71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lang w:val="en-US"/>
              </w:rPr>
              <w:t>0.739</w:t>
            </w:r>
          </w:p>
        </w:tc>
        <w:tc>
          <w:tcPr>
            <w:tcW w:w="950" w:type="dxa"/>
            <w:vAlign w:val="center"/>
          </w:tcPr>
          <w:p w14:paraId="61A8EA61" w14:textId="77777777" w:rsidR="008B5297" w:rsidRPr="00C116D5" w:rsidRDefault="008B5297" w:rsidP="00023145">
            <w:pPr>
              <w:jc w:val="center"/>
              <w:rPr>
                <w:rFonts w:ascii="Arial" w:hAnsi="Arial" w:cs="Arial"/>
                <w:sz w:val="20"/>
                <w:szCs w:val="20"/>
                <w:lang w:val="en-US"/>
              </w:rPr>
            </w:pPr>
          </w:p>
        </w:tc>
      </w:tr>
    </w:tbl>
    <w:p w14:paraId="0143D1D5" w14:textId="77777777" w:rsidR="008B5297" w:rsidRPr="00C116D5" w:rsidRDefault="008B5297" w:rsidP="008B5297">
      <w:pPr>
        <w:spacing w:after="0" w:line="240" w:lineRule="auto"/>
        <w:rPr>
          <w:rFonts w:ascii="Arial" w:hAnsi="Arial" w:cs="Arial"/>
          <w:sz w:val="20"/>
          <w:szCs w:val="20"/>
          <w:lang w:val="en-US"/>
        </w:rPr>
      </w:pPr>
      <w:proofErr w:type="gramStart"/>
      <w:r w:rsidRPr="00C116D5">
        <w:rPr>
          <w:rFonts w:ascii="Arial" w:hAnsi="Arial" w:cs="Arial"/>
          <w:sz w:val="20"/>
          <w:szCs w:val="20"/>
          <w:lang w:val="en-US"/>
        </w:rPr>
        <w:t xml:space="preserve">Data given as mean </w:t>
      </w:r>
      <w:r w:rsidRPr="00C116D5">
        <w:rPr>
          <w:rFonts w:ascii="Arial" w:hAnsi="Arial" w:cs="Arial"/>
          <w:color w:val="000000"/>
          <w:sz w:val="20"/>
          <w:szCs w:val="20"/>
          <w:lang w:val="en-US"/>
        </w:rPr>
        <w:t>± SD in the first row, and as median and quartiles (first quartile-third quartile) in the second row.</w:t>
      </w:r>
      <w:proofErr w:type="gramEnd"/>
      <w:r w:rsidRPr="00C116D5">
        <w:rPr>
          <w:rFonts w:ascii="Arial" w:hAnsi="Arial" w:cs="Arial"/>
          <w:color w:val="000000"/>
          <w:sz w:val="20"/>
          <w:szCs w:val="20"/>
          <w:lang w:val="en-US"/>
        </w:rPr>
        <w:t xml:space="preserve"> </w:t>
      </w:r>
    </w:p>
    <w:p w14:paraId="21D58CE8" w14:textId="77777777" w:rsidR="008B5297" w:rsidRPr="00C116D5" w:rsidRDefault="008B5297" w:rsidP="008B5297">
      <w:pPr>
        <w:spacing w:after="0" w:line="240" w:lineRule="auto"/>
        <w:rPr>
          <w:rFonts w:ascii="Arial" w:eastAsia="Calibri" w:hAnsi="Arial" w:cs="Arial"/>
          <w:sz w:val="20"/>
          <w:szCs w:val="20"/>
          <w:lang w:val="en-US"/>
        </w:rPr>
      </w:pPr>
      <w:proofErr w:type="gramStart"/>
      <w:r w:rsidRPr="00C116D5">
        <w:rPr>
          <w:rFonts w:ascii="Arial" w:hAnsi="Arial" w:cs="Arial"/>
          <w:sz w:val="20"/>
          <w:szCs w:val="20"/>
          <w:vertAlign w:val="superscript"/>
          <w:lang w:val="en-US"/>
        </w:rPr>
        <w:t>a</w:t>
      </w:r>
      <w:proofErr w:type="gramEnd"/>
      <w:r w:rsidRPr="00C116D5">
        <w:rPr>
          <w:rFonts w:ascii="Arial" w:hAnsi="Arial" w:cs="Arial"/>
          <w:sz w:val="20"/>
          <w:szCs w:val="20"/>
          <w:vertAlign w:val="superscript"/>
          <w:lang w:val="en-US"/>
        </w:rPr>
        <w:t xml:space="preserve"> </w:t>
      </w:r>
      <w:r w:rsidRPr="00C116D5">
        <w:rPr>
          <w:rFonts w:ascii="Arial" w:hAnsi="Arial" w:cs="Arial"/>
          <w:sz w:val="20"/>
          <w:szCs w:val="20"/>
          <w:lang w:val="en-US"/>
        </w:rPr>
        <w:t xml:space="preserve">Comparison of three groups (PEG vs. PEX vs. Control) by </w:t>
      </w:r>
      <w:proofErr w:type="spellStart"/>
      <w:r w:rsidRPr="00C116D5">
        <w:rPr>
          <w:rFonts w:ascii="Arial" w:hAnsi="Arial" w:cs="Arial"/>
          <w:sz w:val="20"/>
          <w:szCs w:val="20"/>
          <w:lang w:val="en-US"/>
        </w:rPr>
        <w:t>Kruskal</w:t>
      </w:r>
      <w:proofErr w:type="spellEnd"/>
      <w:r w:rsidRPr="00C116D5">
        <w:rPr>
          <w:rFonts w:ascii="Arial" w:hAnsi="Arial" w:cs="Arial"/>
          <w:sz w:val="20"/>
          <w:szCs w:val="20"/>
          <w:lang w:val="en-US"/>
        </w:rPr>
        <w:t>-Wa</w:t>
      </w:r>
      <w:r w:rsidRPr="009F0E81">
        <w:rPr>
          <w:rFonts w:ascii="Arial" w:hAnsi="Arial" w:cs="Arial"/>
          <w:sz w:val="20"/>
          <w:szCs w:val="20"/>
          <w:lang w:val="en-US"/>
        </w:rPr>
        <w:t>ll</w:t>
      </w:r>
      <w:r w:rsidRPr="00C116D5">
        <w:rPr>
          <w:rFonts w:ascii="Arial" w:hAnsi="Arial" w:cs="Arial"/>
          <w:sz w:val="20"/>
          <w:szCs w:val="20"/>
          <w:lang w:val="en-US"/>
        </w:rPr>
        <w:t xml:space="preserve">is test, </w:t>
      </w:r>
      <w:r w:rsidRPr="00C116D5">
        <w:rPr>
          <w:rFonts w:ascii="Arial" w:hAnsi="Arial" w:cs="Arial"/>
          <w:sz w:val="20"/>
          <w:szCs w:val="20"/>
          <w:vertAlign w:val="superscript"/>
          <w:lang w:val="en-US"/>
        </w:rPr>
        <w:t>b</w:t>
      </w:r>
      <w:r w:rsidRPr="00C116D5">
        <w:rPr>
          <w:rFonts w:ascii="Arial" w:hAnsi="Arial" w:cs="Arial"/>
          <w:sz w:val="20"/>
          <w:szCs w:val="20"/>
          <w:lang w:val="en-US"/>
        </w:rPr>
        <w:t xml:space="preserve"> PEG vs. Control; </w:t>
      </w:r>
      <w:r w:rsidRPr="00C116D5">
        <w:rPr>
          <w:rFonts w:ascii="Arial" w:eastAsia="Calibri" w:hAnsi="Arial" w:cs="Arial"/>
          <w:sz w:val="20"/>
          <w:szCs w:val="20"/>
          <w:vertAlign w:val="superscript"/>
          <w:lang w:val="en-US"/>
        </w:rPr>
        <w:t xml:space="preserve">c </w:t>
      </w:r>
      <w:r w:rsidRPr="00C116D5">
        <w:rPr>
          <w:rFonts w:ascii="Arial" w:eastAsia="Calibri" w:hAnsi="Arial" w:cs="Arial"/>
          <w:sz w:val="20"/>
          <w:szCs w:val="20"/>
          <w:lang w:val="en-US"/>
        </w:rPr>
        <w:t xml:space="preserve">PEX vs. Control; </w:t>
      </w:r>
      <w:r w:rsidRPr="00C116D5">
        <w:rPr>
          <w:rFonts w:ascii="Arial" w:eastAsia="Calibri" w:hAnsi="Arial" w:cs="Arial"/>
          <w:sz w:val="20"/>
          <w:szCs w:val="20"/>
          <w:vertAlign w:val="superscript"/>
          <w:lang w:val="en-US"/>
        </w:rPr>
        <w:t xml:space="preserve">d </w:t>
      </w:r>
      <w:r w:rsidRPr="00C116D5">
        <w:rPr>
          <w:rFonts w:ascii="Arial" w:eastAsia="Calibri" w:hAnsi="Arial" w:cs="Arial"/>
          <w:sz w:val="20"/>
          <w:szCs w:val="20"/>
          <w:lang w:val="en-US"/>
        </w:rPr>
        <w:t>PEG vs. PEX by Conover’s formula.</w:t>
      </w:r>
    </w:p>
    <w:p w14:paraId="761C2AB0" w14:textId="77777777" w:rsidR="00FE487B" w:rsidRPr="00C116D5" w:rsidRDefault="008B5297" w:rsidP="00FE487B">
      <w:pPr>
        <w:spacing w:after="0" w:line="240" w:lineRule="auto"/>
        <w:rPr>
          <w:rFonts w:ascii="Arial" w:eastAsia="Calibri" w:hAnsi="Arial" w:cs="Arial"/>
          <w:sz w:val="20"/>
          <w:szCs w:val="20"/>
          <w:lang w:val="en-US"/>
        </w:rPr>
      </w:pPr>
      <w:r w:rsidRPr="00C116D5">
        <w:rPr>
          <w:rFonts w:ascii="Arial" w:eastAsia="Calibri" w:hAnsi="Arial" w:cs="Arial"/>
          <w:sz w:val="20"/>
          <w:szCs w:val="20"/>
          <w:lang w:val="en-US"/>
        </w:rPr>
        <w:t>*</w:t>
      </w:r>
      <w:r w:rsidRPr="003654C8">
        <w:rPr>
          <w:rFonts w:ascii="Arial" w:eastAsia="Calibri" w:hAnsi="Arial" w:cs="Arial"/>
          <w:i/>
          <w:sz w:val="20"/>
          <w:szCs w:val="20"/>
          <w:lang w:val="en-US"/>
        </w:rPr>
        <w:t>QR</w:t>
      </w:r>
      <w:r w:rsidRPr="00C116D5">
        <w:rPr>
          <w:rFonts w:ascii="Arial" w:eastAsia="Calibri" w:hAnsi="Arial" w:cs="Arial"/>
          <w:sz w:val="20"/>
          <w:szCs w:val="20"/>
          <w:lang w:val="en-US"/>
        </w:rPr>
        <w:t>+</w:t>
      </w:r>
      <w:r w:rsidRPr="003654C8">
        <w:rPr>
          <w:rFonts w:ascii="Arial" w:eastAsia="Calibri" w:hAnsi="Arial" w:cs="Arial"/>
          <w:i/>
          <w:sz w:val="20"/>
          <w:szCs w:val="20"/>
          <w:lang w:val="en-US"/>
        </w:rPr>
        <w:t>RR</w:t>
      </w:r>
      <w:r w:rsidRPr="00C116D5">
        <w:rPr>
          <w:rFonts w:ascii="Arial" w:eastAsia="Calibri" w:hAnsi="Arial" w:cs="Arial"/>
          <w:sz w:val="20"/>
          <w:szCs w:val="20"/>
          <w:lang w:val="en-US"/>
        </w:rPr>
        <w:t xml:space="preserve"> vs. </w:t>
      </w:r>
      <w:r w:rsidRPr="003654C8">
        <w:rPr>
          <w:rFonts w:ascii="Arial" w:eastAsia="Calibri" w:hAnsi="Arial" w:cs="Arial"/>
          <w:i/>
          <w:sz w:val="20"/>
          <w:szCs w:val="20"/>
          <w:lang w:val="en-US"/>
        </w:rPr>
        <w:t>QQ</w:t>
      </w:r>
      <w:r w:rsidRPr="00C116D5">
        <w:rPr>
          <w:rFonts w:ascii="Arial" w:eastAsia="Calibri" w:hAnsi="Arial" w:cs="Arial"/>
          <w:sz w:val="20"/>
          <w:szCs w:val="20"/>
          <w:lang w:val="en-US"/>
        </w:rPr>
        <w:t xml:space="preserve"> by Mann-Whitney U test </w:t>
      </w:r>
      <w:r w:rsidR="00FE487B">
        <w:rPr>
          <w:rFonts w:ascii="Arial" w:eastAsia="Calibri" w:hAnsi="Arial" w:cs="Arial"/>
          <w:sz w:val="20"/>
          <w:szCs w:val="20"/>
          <w:lang w:val="en-US"/>
        </w:rPr>
        <w:t xml:space="preserve">and </w:t>
      </w:r>
      <w:proofErr w:type="spellStart"/>
      <w:r w:rsidR="00FE487B">
        <w:rPr>
          <w:rFonts w:ascii="Arial" w:eastAsia="Calibri" w:hAnsi="Arial" w:cs="Arial"/>
          <w:color w:val="000000" w:themeColor="text1"/>
          <w:sz w:val="20"/>
          <w:szCs w:val="20"/>
          <w:lang w:val="en-US"/>
        </w:rPr>
        <w:t>Bonferroni</w:t>
      </w:r>
      <w:proofErr w:type="spellEnd"/>
      <w:r w:rsidR="00FE487B">
        <w:rPr>
          <w:rFonts w:ascii="Arial" w:eastAsia="Calibri" w:hAnsi="Arial" w:cs="Arial"/>
          <w:color w:val="000000" w:themeColor="text1"/>
          <w:sz w:val="20"/>
          <w:szCs w:val="20"/>
          <w:lang w:val="en-US"/>
        </w:rPr>
        <w:t xml:space="preserve"> corrected significance cut-off value was 0.0125.</w:t>
      </w:r>
    </w:p>
    <w:p w14:paraId="188B606C" w14:textId="519256E3" w:rsidR="008B5297" w:rsidRPr="00C116D5" w:rsidRDefault="008B5297" w:rsidP="008B5297">
      <w:pPr>
        <w:spacing w:after="0" w:line="240" w:lineRule="auto"/>
        <w:rPr>
          <w:rFonts w:ascii="Arial" w:eastAsia="Calibri" w:hAnsi="Arial" w:cs="Arial"/>
          <w:sz w:val="20"/>
          <w:szCs w:val="20"/>
          <w:lang w:val="en-US"/>
        </w:rPr>
      </w:pPr>
    </w:p>
    <w:p w14:paraId="35FEE0CB" w14:textId="77777777" w:rsidR="008B5297" w:rsidRPr="00C116D5" w:rsidRDefault="008B5297" w:rsidP="008B5297">
      <w:pPr>
        <w:spacing w:after="0" w:line="240" w:lineRule="auto"/>
        <w:rPr>
          <w:rFonts w:ascii="Arial" w:hAnsi="Arial" w:cs="Arial"/>
          <w:sz w:val="20"/>
          <w:szCs w:val="20"/>
          <w:lang w:val="en-US"/>
        </w:rPr>
      </w:pPr>
    </w:p>
    <w:p w14:paraId="0E02ADDE" w14:textId="77777777" w:rsidR="008B5297" w:rsidRPr="00C116D5" w:rsidRDefault="008B5297" w:rsidP="008B5297">
      <w:pPr>
        <w:rPr>
          <w:rFonts w:ascii="Arial" w:hAnsi="Arial" w:cs="Arial"/>
          <w:lang w:val="en-US"/>
        </w:rPr>
      </w:pPr>
    </w:p>
    <w:p w14:paraId="17D4DED7" w14:textId="77777777" w:rsidR="008B5297" w:rsidRPr="00C116D5" w:rsidRDefault="008B5297" w:rsidP="008B5297">
      <w:pPr>
        <w:rPr>
          <w:rFonts w:ascii="Arial" w:hAnsi="Arial" w:cs="Arial"/>
          <w:lang w:val="en-US"/>
        </w:rPr>
      </w:pPr>
    </w:p>
    <w:p w14:paraId="5C7592A1" w14:textId="77777777" w:rsidR="008B5297" w:rsidRPr="00C116D5" w:rsidRDefault="008B5297" w:rsidP="008B5297">
      <w:pPr>
        <w:rPr>
          <w:rFonts w:ascii="Arial" w:hAnsi="Arial" w:cs="Arial"/>
          <w:lang w:val="en-US"/>
        </w:rPr>
      </w:pPr>
    </w:p>
    <w:p w14:paraId="258710FE" w14:textId="77777777" w:rsidR="008B5297" w:rsidRPr="00C116D5" w:rsidRDefault="008B5297" w:rsidP="008B5297">
      <w:pPr>
        <w:rPr>
          <w:rFonts w:ascii="Arial" w:hAnsi="Arial" w:cs="Arial"/>
          <w:lang w:val="en-US"/>
        </w:rPr>
      </w:pPr>
    </w:p>
    <w:p w14:paraId="49A3A655" w14:textId="77777777" w:rsidR="008B5297" w:rsidRPr="00C116D5" w:rsidRDefault="008B5297" w:rsidP="008B5297">
      <w:pPr>
        <w:rPr>
          <w:rFonts w:ascii="Arial" w:hAnsi="Arial" w:cs="Arial"/>
          <w:lang w:val="en-US"/>
        </w:rPr>
      </w:pPr>
    </w:p>
    <w:p w14:paraId="2630DE5A" w14:textId="77777777" w:rsidR="008B5297" w:rsidRPr="00C116D5" w:rsidRDefault="008B5297" w:rsidP="008B5297">
      <w:pPr>
        <w:rPr>
          <w:rFonts w:ascii="Arial" w:hAnsi="Arial" w:cs="Arial"/>
          <w:lang w:val="en-US"/>
        </w:rPr>
      </w:pPr>
    </w:p>
    <w:p w14:paraId="3BCEE382" w14:textId="77777777" w:rsidR="008B5297" w:rsidRPr="00C116D5" w:rsidRDefault="008B5297" w:rsidP="008B5297">
      <w:pPr>
        <w:rPr>
          <w:rFonts w:ascii="Arial" w:hAnsi="Arial" w:cs="Arial"/>
          <w:lang w:val="en-US"/>
        </w:rPr>
      </w:pPr>
    </w:p>
    <w:p w14:paraId="0AFAD0A4" w14:textId="77777777" w:rsidR="008B5297" w:rsidRPr="00C116D5" w:rsidRDefault="008B5297" w:rsidP="008B5297">
      <w:pPr>
        <w:rPr>
          <w:rFonts w:ascii="Arial" w:hAnsi="Arial" w:cs="Arial"/>
          <w:lang w:val="en-US"/>
        </w:rPr>
      </w:pPr>
    </w:p>
    <w:p w14:paraId="5322D1F5" w14:textId="77777777" w:rsidR="008B5297" w:rsidRPr="00C116D5" w:rsidRDefault="008B5297" w:rsidP="008B5297">
      <w:pPr>
        <w:rPr>
          <w:rFonts w:ascii="Arial" w:hAnsi="Arial" w:cs="Arial"/>
          <w:lang w:val="en-US"/>
        </w:rPr>
      </w:pPr>
    </w:p>
    <w:p w14:paraId="79DD8E8C" w14:textId="77777777" w:rsidR="008B5297" w:rsidRPr="00C116D5" w:rsidRDefault="008B5297" w:rsidP="008B5297">
      <w:pPr>
        <w:rPr>
          <w:rFonts w:ascii="Arial" w:hAnsi="Arial" w:cs="Arial"/>
          <w:lang w:val="en-US"/>
        </w:rPr>
      </w:pPr>
    </w:p>
    <w:p w14:paraId="43B29C4D" w14:textId="77777777" w:rsidR="008B5297" w:rsidRPr="00C116D5" w:rsidRDefault="008B5297" w:rsidP="008B5297">
      <w:pPr>
        <w:rPr>
          <w:rFonts w:ascii="Arial" w:hAnsi="Arial" w:cs="Arial"/>
          <w:lang w:val="en-US"/>
        </w:rPr>
      </w:pPr>
    </w:p>
    <w:p w14:paraId="36231129" w14:textId="77777777" w:rsidR="008B5297" w:rsidRPr="00C116D5" w:rsidRDefault="008B5297" w:rsidP="008B5297">
      <w:pPr>
        <w:rPr>
          <w:rFonts w:ascii="Arial" w:hAnsi="Arial" w:cs="Arial"/>
          <w:lang w:val="en-US"/>
        </w:rPr>
      </w:pPr>
    </w:p>
    <w:p w14:paraId="7A562DE7" w14:textId="77777777" w:rsidR="008B5297" w:rsidRPr="00C116D5" w:rsidRDefault="008B5297" w:rsidP="008B5297">
      <w:pPr>
        <w:rPr>
          <w:rFonts w:ascii="Arial" w:hAnsi="Arial" w:cs="Arial"/>
          <w:lang w:val="en-US"/>
        </w:rPr>
      </w:pPr>
    </w:p>
    <w:p w14:paraId="572BF938" w14:textId="77777777" w:rsidR="008B5297" w:rsidRPr="00C116D5" w:rsidRDefault="008B5297" w:rsidP="008B5297">
      <w:pPr>
        <w:rPr>
          <w:rFonts w:ascii="Arial" w:hAnsi="Arial" w:cs="Arial"/>
          <w:lang w:val="en-US"/>
        </w:rPr>
      </w:pPr>
    </w:p>
    <w:p w14:paraId="4D04AE63" w14:textId="77777777" w:rsidR="008B5297" w:rsidRPr="00C116D5" w:rsidRDefault="008B5297" w:rsidP="008B5297">
      <w:pPr>
        <w:rPr>
          <w:rFonts w:ascii="Arial" w:hAnsi="Arial" w:cs="Arial"/>
          <w:lang w:val="en-US"/>
        </w:rPr>
      </w:pPr>
    </w:p>
    <w:p w14:paraId="13EA668B" w14:textId="20EF46EB" w:rsidR="008B5297" w:rsidRPr="00C116D5" w:rsidRDefault="008B5297" w:rsidP="008B5297">
      <w:pPr>
        <w:rPr>
          <w:rFonts w:ascii="Arial" w:hAnsi="Arial" w:cs="Arial"/>
          <w:lang w:val="en-US"/>
        </w:rPr>
      </w:pPr>
      <w:proofErr w:type="gramStart"/>
      <w:r w:rsidRPr="00C116D5">
        <w:rPr>
          <w:rFonts w:ascii="Arial" w:hAnsi="Arial" w:cs="Arial"/>
          <w:b/>
          <w:lang w:val="en-US"/>
        </w:rPr>
        <w:lastRenderedPageBreak/>
        <w:t xml:space="preserve">Table </w:t>
      </w:r>
      <w:r w:rsidR="00FE487B">
        <w:rPr>
          <w:rFonts w:ascii="Arial" w:hAnsi="Arial" w:cs="Arial"/>
          <w:b/>
          <w:lang w:val="en-US"/>
        </w:rPr>
        <w:t>7</w:t>
      </w:r>
      <w:r w:rsidRPr="00C116D5">
        <w:rPr>
          <w:rFonts w:ascii="Arial" w:hAnsi="Arial" w:cs="Arial"/>
          <w:lang w:val="en-US"/>
        </w:rPr>
        <w:t>.</w:t>
      </w:r>
      <w:proofErr w:type="gramEnd"/>
      <w:r w:rsidRPr="00C116D5">
        <w:rPr>
          <w:rFonts w:ascii="Arial" w:hAnsi="Arial" w:cs="Arial"/>
          <w:lang w:val="en-US"/>
        </w:rPr>
        <w:t xml:space="preserve"> </w:t>
      </w:r>
      <w:proofErr w:type="gramStart"/>
      <w:r w:rsidRPr="00C116D5">
        <w:rPr>
          <w:rFonts w:ascii="Arial" w:hAnsi="Arial" w:cs="Arial"/>
          <w:lang w:val="en-US"/>
        </w:rPr>
        <w:t>Stratification of visual clinical characteristics of PEG.</w:t>
      </w:r>
      <w:proofErr w:type="gramEnd"/>
      <w:r w:rsidRPr="00C116D5">
        <w:rPr>
          <w:rFonts w:ascii="Arial" w:hAnsi="Arial" w:cs="Arial"/>
          <w:lang w:val="en-US"/>
        </w:rPr>
        <w:t xml:space="preserve"> PEX and control groups with respect to </w:t>
      </w:r>
      <w:r w:rsidRPr="00A038F3">
        <w:rPr>
          <w:rFonts w:ascii="Arial" w:hAnsi="Arial" w:cs="Arial"/>
          <w:i/>
          <w:lang w:val="en-US"/>
        </w:rPr>
        <w:t xml:space="preserve">PON1 </w:t>
      </w:r>
      <w:r w:rsidRPr="003654C8">
        <w:rPr>
          <w:rFonts w:ascii="Arial" w:hAnsi="Arial" w:cs="Arial"/>
          <w:i/>
          <w:lang w:val="en-US"/>
        </w:rPr>
        <w:t>55L/M</w:t>
      </w:r>
      <w:r w:rsidRPr="00C116D5">
        <w:rPr>
          <w:rFonts w:ascii="Arial" w:hAnsi="Arial" w:cs="Arial"/>
          <w:lang w:val="en-US"/>
        </w:rPr>
        <w:t xml:space="preserve"> genotypes </w:t>
      </w:r>
    </w:p>
    <w:tbl>
      <w:tblPr>
        <w:tblStyle w:val="TabloKlavuzu"/>
        <w:tblW w:w="9889" w:type="dxa"/>
        <w:tblLook w:val="04A0" w:firstRow="1" w:lastRow="0" w:firstColumn="1" w:lastColumn="0" w:noHBand="0" w:noVBand="1"/>
      </w:tblPr>
      <w:tblGrid>
        <w:gridCol w:w="2093"/>
        <w:gridCol w:w="1346"/>
        <w:gridCol w:w="1748"/>
        <w:gridCol w:w="1843"/>
        <w:gridCol w:w="1843"/>
        <w:gridCol w:w="1016"/>
      </w:tblGrid>
      <w:tr w:rsidR="008B5297" w:rsidRPr="00C116D5" w14:paraId="19BB0598" w14:textId="77777777" w:rsidTr="00023145">
        <w:tc>
          <w:tcPr>
            <w:tcW w:w="2093" w:type="dxa"/>
          </w:tcPr>
          <w:p w14:paraId="226CA975"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Clinical characteristic</w:t>
            </w:r>
          </w:p>
        </w:tc>
        <w:tc>
          <w:tcPr>
            <w:tcW w:w="1346" w:type="dxa"/>
          </w:tcPr>
          <w:p w14:paraId="3DADA181" w14:textId="77777777" w:rsidR="008B5297" w:rsidRPr="00C116D5" w:rsidRDefault="008B5297" w:rsidP="00023145">
            <w:pPr>
              <w:rPr>
                <w:rFonts w:ascii="Arial" w:hAnsi="Arial" w:cs="Arial"/>
                <w:b/>
                <w:sz w:val="20"/>
                <w:szCs w:val="20"/>
                <w:lang w:val="en-US"/>
              </w:rPr>
            </w:pPr>
            <w:r w:rsidRPr="003654C8">
              <w:rPr>
                <w:rFonts w:ascii="Arial" w:hAnsi="Arial" w:cs="Arial"/>
                <w:b/>
                <w:i/>
                <w:sz w:val="20"/>
                <w:szCs w:val="20"/>
                <w:lang w:val="en-US"/>
              </w:rPr>
              <w:t>55L/M</w:t>
            </w:r>
            <w:r w:rsidRPr="00C116D5">
              <w:rPr>
                <w:rFonts w:ascii="Arial" w:hAnsi="Arial" w:cs="Arial"/>
                <w:b/>
                <w:sz w:val="20"/>
                <w:szCs w:val="20"/>
                <w:lang w:val="en-US"/>
              </w:rPr>
              <w:t xml:space="preserve"> Genotype</w:t>
            </w:r>
          </w:p>
        </w:tc>
        <w:tc>
          <w:tcPr>
            <w:tcW w:w="1748" w:type="dxa"/>
          </w:tcPr>
          <w:p w14:paraId="4919ADF3"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PEG</w:t>
            </w:r>
          </w:p>
        </w:tc>
        <w:tc>
          <w:tcPr>
            <w:tcW w:w="1843" w:type="dxa"/>
          </w:tcPr>
          <w:p w14:paraId="7933262E"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PEX</w:t>
            </w:r>
          </w:p>
        </w:tc>
        <w:tc>
          <w:tcPr>
            <w:tcW w:w="1843" w:type="dxa"/>
          </w:tcPr>
          <w:p w14:paraId="3A4CA9EC"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Control</w:t>
            </w:r>
          </w:p>
        </w:tc>
        <w:tc>
          <w:tcPr>
            <w:tcW w:w="1016" w:type="dxa"/>
          </w:tcPr>
          <w:p w14:paraId="2A1F9C46" w14:textId="77777777" w:rsidR="008B5297" w:rsidRPr="00C116D5" w:rsidRDefault="008B5297" w:rsidP="00023145">
            <w:pPr>
              <w:jc w:val="center"/>
              <w:rPr>
                <w:rFonts w:ascii="Arial" w:hAnsi="Arial" w:cs="Arial"/>
                <w:b/>
                <w:sz w:val="20"/>
                <w:szCs w:val="20"/>
                <w:lang w:val="en-US"/>
              </w:rPr>
            </w:pPr>
            <w:r w:rsidRPr="00C116D5">
              <w:rPr>
                <w:rFonts w:ascii="Arial" w:hAnsi="Arial" w:cs="Arial"/>
                <w:b/>
                <w:sz w:val="20"/>
                <w:szCs w:val="20"/>
                <w:lang w:val="en-US"/>
              </w:rPr>
              <w:t>P</w:t>
            </w:r>
          </w:p>
        </w:tc>
      </w:tr>
      <w:tr w:rsidR="008B5297" w:rsidRPr="00C116D5" w14:paraId="5AECE00E" w14:textId="77777777" w:rsidTr="00023145">
        <w:tc>
          <w:tcPr>
            <w:tcW w:w="2093" w:type="dxa"/>
            <w:vMerge w:val="restart"/>
            <w:vAlign w:val="center"/>
          </w:tcPr>
          <w:p w14:paraId="36D25BBB"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IOP (</w:t>
            </w:r>
            <w:r w:rsidRPr="00A038F3">
              <w:rPr>
                <w:rFonts w:ascii="Arial" w:hAnsi="Arial" w:cs="Arial"/>
                <w:b/>
                <w:sz w:val="20"/>
                <w:szCs w:val="20"/>
                <w:lang w:val="en-US"/>
              </w:rPr>
              <w:t>mm</w:t>
            </w:r>
            <w:r w:rsidRPr="00C116D5">
              <w:rPr>
                <w:rFonts w:ascii="Arial" w:hAnsi="Arial" w:cs="Arial"/>
                <w:b/>
                <w:sz w:val="20"/>
                <w:szCs w:val="20"/>
                <w:lang w:val="en-US"/>
              </w:rPr>
              <w:t>Hg)</w:t>
            </w:r>
          </w:p>
        </w:tc>
        <w:tc>
          <w:tcPr>
            <w:tcW w:w="1346" w:type="dxa"/>
            <w:vAlign w:val="center"/>
          </w:tcPr>
          <w:p w14:paraId="3F15E1A9"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LL</w:t>
            </w:r>
          </w:p>
        </w:tc>
        <w:tc>
          <w:tcPr>
            <w:tcW w:w="1748" w:type="dxa"/>
            <w:vAlign w:val="center"/>
          </w:tcPr>
          <w:p w14:paraId="457EEA3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21.8 ± </w:t>
            </w:r>
            <w:proofErr w:type="gramStart"/>
            <w:r w:rsidRPr="00C116D5">
              <w:rPr>
                <w:rFonts w:ascii="Arial" w:hAnsi="Arial" w:cs="Arial"/>
                <w:color w:val="000000"/>
                <w:sz w:val="20"/>
                <w:szCs w:val="20"/>
              </w:rPr>
              <w:t>5.2</w:t>
            </w:r>
            <w:proofErr w:type="gramEnd"/>
          </w:p>
          <w:p w14:paraId="30ECD17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21.0 (</w:t>
            </w:r>
            <w:proofErr w:type="gramStart"/>
            <w:r w:rsidRPr="00C116D5">
              <w:rPr>
                <w:rFonts w:ascii="Arial" w:hAnsi="Arial" w:cs="Arial"/>
                <w:color w:val="000000"/>
                <w:sz w:val="20"/>
                <w:szCs w:val="20"/>
              </w:rPr>
              <w:t>18.0</w:t>
            </w:r>
            <w:proofErr w:type="gramEnd"/>
            <w:r w:rsidRPr="00C116D5">
              <w:rPr>
                <w:rFonts w:ascii="Arial" w:hAnsi="Arial" w:cs="Arial"/>
                <w:color w:val="000000"/>
                <w:sz w:val="20"/>
                <w:szCs w:val="20"/>
              </w:rPr>
              <w:t xml:space="preserve"> –24.0)</w:t>
            </w:r>
          </w:p>
        </w:tc>
        <w:tc>
          <w:tcPr>
            <w:tcW w:w="1843" w:type="dxa"/>
            <w:vAlign w:val="center"/>
          </w:tcPr>
          <w:p w14:paraId="082CC1F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19.7 ± </w:t>
            </w:r>
            <w:proofErr w:type="gramStart"/>
            <w:r w:rsidRPr="00C116D5">
              <w:rPr>
                <w:rFonts w:ascii="Arial" w:hAnsi="Arial" w:cs="Arial"/>
                <w:color w:val="000000"/>
                <w:sz w:val="20"/>
                <w:szCs w:val="20"/>
              </w:rPr>
              <w:t>5.3</w:t>
            </w:r>
            <w:proofErr w:type="gramEnd"/>
          </w:p>
          <w:p w14:paraId="381AAEC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19.0 (</w:t>
            </w:r>
            <w:proofErr w:type="gramStart"/>
            <w:r w:rsidRPr="00C116D5">
              <w:rPr>
                <w:rFonts w:ascii="Arial" w:hAnsi="Arial" w:cs="Arial"/>
                <w:color w:val="000000"/>
                <w:sz w:val="20"/>
                <w:szCs w:val="20"/>
              </w:rPr>
              <w:t>16.0</w:t>
            </w:r>
            <w:proofErr w:type="gramEnd"/>
            <w:r w:rsidRPr="00C116D5">
              <w:rPr>
                <w:rFonts w:ascii="Arial" w:hAnsi="Arial" w:cs="Arial"/>
                <w:color w:val="000000"/>
                <w:sz w:val="20"/>
                <w:szCs w:val="20"/>
              </w:rPr>
              <w:t xml:space="preserve"> –23.0)</w:t>
            </w:r>
          </w:p>
        </w:tc>
        <w:tc>
          <w:tcPr>
            <w:tcW w:w="1843" w:type="dxa"/>
            <w:vAlign w:val="center"/>
          </w:tcPr>
          <w:p w14:paraId="72AFADA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19.7 ±</w:t>
            </w:r>
            <w:proofErr w:type="gramStart"/>
            <w:r w:rsidRPr="00C116D5">
              <w:rPr>
                <w:rFonts w:ascii="Arial" w:hAnsi="Arial" w:cs="Arial"/>
                <w:color w:val="000000"/>
                <w:sz w:val="20"/>
                <w:szCs w:val="20"/>
              </w:rPr>
              <w:t>6.2</w:t>
            </w:r>
            <w:proofErr w:type="gramEnd"/>
          </w:p>
          <w:p w14:paraId="58A6DE8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19.0 (</w:t>
            </w:r>
            <w:proofErr w:type="gramStart"/>
            <w:r w:rsidRPr="00C116D5">
              <w:rPr>
                <w:rFonts w:ascii="Arial" w:hAnsi="Arial" w:cs="Arial"/>
                <w:color w:val="000000"/>
                <w:sz w:val="20"/>
                <w:szCs w:val="20"/>
              </w:rPr>
              <w:t>15.5</w:t>
            </w:r>
            <w:proofErr w:type="gramEnd"/>
            <w:r w:rsidRPr="00C116D5">
              <w:rPr>
                <w:rFonts w:ascii="Arial" w:hAnsi="Arial" w:cs="Arial"/>
                <w:color w:val="000000"/>
                <w:sz w:val="20"/>
                <w:szCs w:val="20"/>
              </w:rPr>
              <w:t xml:space="preserve"> –23.5)</w:t>
            </w:r>
          </w:p>
        </w:tc>
        <w:tc>
          <w:tcPr>
            <w:tcW w:w="1016" w:type="dxa"/>
            <w:vAlign w:val="center"/>
          </w:tcPr>
          <w:p w14:paraId="14B4A84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0.014</w:t>
            </w:r>
            <w:r w:rsidRPr="00C116D5">
              <w:rPr>
                <w:rFonts w:ascii="Arial" w:hAnsi="Arial" w:cs="Arial"/>
                <w:sz w:val="20"/>
                <w:szCs w:val="20"/>
                <w:vertAlign w:val="superscript"/>
                <w:lang w:val="en-US"/>
              </w:rPr>
              <w:t>a</w:t>
            </w:r>
          </w:p>
          <w:p w14:paraId="71A7A81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0.008</w:t>
            </w:r>
            <w:r w:rsidRPr="00C116D5">
              <w:rPr>
                <w:rFonts w:ascii="Arial" w:hAnsi="Arial" w:cs="Arial"/>
                <w:sz w:val="20"/>
                <w:szCs w:val="20"/>
                <w:vertAlign w:val="superscript"/>
                <w:lang w:val="en-US"/>
              </w:rPr>
              <w:t>b</w:t>
            </w:r>
          </w:p>
          <w:p w14:paraId="47E787F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0.797</w:t>
            </w:r>
            <w:r w:rsidRPr="00C116D5">
              <w:rPr>
                <w:rFonts w:ascii="Arial" w:hAnsi="Arial" w:cs="Arial"/>
                <w:sz w:val="20"/>
                <w:szCs w:val="20"/>
                <w:vertAlign w:val="superscript"/>
                <w:lang w:val="en-US"/>
              </w:rPr>
              <w:t>c</w:t>
            </w:r>
          </w:p>
          <w:p w14:paraId="1856F47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0.012</w:t>
            </w:r>
            <w:r w:rsidRPr="00C116D5">
              <w:rPr>
                <w:rFonts w:ascii="Arial" w:hAnsi="Arial" w:cs="Arial"/>
                <w:sz w:val="20"/>
                <w:szCs w:val="20"/>
                <w:vertAlign w:val="superscript"/>
                <w:lang w:val="en-US"/>
              </w:rPr>
              <w:t>d</w:t>
            </w:r>
          </w:p>
        </w:tc>
      </w:tr>
      <w:tr w:rsidR="008B5297" w:rsidRPr="00C116D5" w14:paraId="68C1FB2C" w14:textId="77777777" w:rsidTr="00023145">
        <w:trPr>
          <w:trHeight w:val="253"/>
        </w:trPr>
        <w:tc>
          <w:tcPr>
            <w:tcW w:w="2093" w:type="dxa"/>
            <w:vMerge/>
            <w:vAlign w:val="center"/>
          </w:tcPr>
          <w:p w14:paraId="4C5C51BA" w14:textId="77777777" w:rsidR="008B5297" w:rsidRPr="00C116D5" w:rsidRDefault="008B5297" w:rsidP="00023145">
            <w:pPr>
              <w:rPr>
                <w:rFonts w:ascii="Arial" w:hAnsi="Arial" w:cs="Arial"/>
                <w:b/>
                <w:sz w:val="20"/>
                <w:szCs w:val="20"/>
                <w:lang w:val="en-US"/>
              </w:rPr>
            </w:pPr>
          </w:p>
        </w:tc>
        <w:tc>
          <w:tcPr>
            <w:tcW w:w="1346" w:type="dxa"/>
            <w:vMerge w:val="restart"/>
            <w:vAlign w:val="center"/>
          </w:tcPr>
          <w:p w14:paraId="0CB821D8"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LM</w:t>
            </w:r>
            <w:r w:rsidRPr="00C116D5">
              <w:rPr>
                <w:rFonts w:ascii="Arial" w:hAnsi="Arial" w:cs="Arial"/>
                <w:sz w:val="20"/>
                <w:szCs w:val="20"/>
                <w:lang w:val="en-US"/>
              </w:rPr>
              <w:t xml:space="preserve"> + </w:t>
            </w:r>
            <w:r w:rsidRPr="003654C8">
              <w:rPr>
                <w:rFonts w:ascii="Arial" w:hAnsi="Arial" w:cs="Arial"/>
                <w:i/>
                <w:sz w:val="20"/>
                <w:szCs w:val="20"/>
                <w:lang w:val="en-US"/>
              </w:rPr>
              <w:t>MM</w:t>
            </w:r>
          </w:p>
        </w:tc>
        <w:tc>
          <w:tcPr>
            <w:tcW w:w="1748" w:type="dxa"/>
            <w:vMerge w:val="restart"/>
            <w:vAlign w:val="center"/>
          </w:tcPr>
          <w:p w14:paraId="0EF703B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21.4 ± </w:t>
            </w:r>
            <w:proofErr w:type="gramStart"/>
            <w:r w:rsidRPr="00C116D5">
              <w:rPr>
                <w:rFonts w:ascii="Arial" w:hAnsi="Arial" w:cs="Arial"/>
                <w:color w:val="000000"/>
                <w:sz w:val="20"/>
                <w:szCs w:val="20"/>
              </w:rPr>
              <w:t>4.7</w:t>
            </w:r>
            <w:proofErr w:type="gramEnd"/>
          </w:p>
          <w:p w14:paraId="3555FEF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21.0 (</w:t>
            </w:r>
            <w:proofErr w:type="gramStart"/>
            <w:r w:rsidRPr="00C116D5">
              <w:rPr>
                <w:rFonts w:ascii="Arial" w:hAnsi="Arial" w:cs="Arial"/>
                <w:color w:val="000000"/>
                <w:sz w:val="20"/>
                <w:szCs w:val="20"/>
              </w:rPr>
              <w:t>18.0</w:t>
            </w:r>
            <w:proofErr w:type="gramEnd"/>
            <w:r w:rsidRPr="00C116D5">
              <w:rPr>
                <w:rFonts w:ascii="Arial" w:hAnsi="Arial" w:cs="Arial"/>
                <w:color w:val="000000"/>
                <w:sz w:val="20"/>
                <w:szCs w:val="20"/>
              </w:rPr>
              <w:t xml:space="preserve"> –24.0)</w:t>
            </w:r>
          </w:p>
        </w:tc>
        <w:tc>
          <w:tcPr>
            <w:tcW w:w="1843" w:type="dxa"/>
            <w:vMerge w:val="restart"/>
            <w:vAlign w:val="center"/>
          </w:tcPr>
          <w:p w14:paraId="3F23E748"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18.6 ± </w:t>
            </w:r>
            <w:proofErr w:type="gramStart"/>
            <w:r w:rsidRPr="00C116D5">
              <w:rPr>
                <w:rFonts w:ascii="Arial" w:hAnsi="Arial" w:cs="Arial"/>
                <w:color w:val="000000"/>
                <w:sz w:val="20"/>
                <w:szCs w:val="20"/>
              </w:rPr>
              <w:t>5.3</w:t>
            </w:r>
            <w:proofErr w:type="gramEnd"/>
          </w:p>
          <w:p w14:paraId="5F6C97E9"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18.0 (</w:t>
            </w:r>
            <w:proofErr w:type="gramStart"/>
            <w:r w:rsidRPr="00C116D5">
              <w:rPr>
                <w:rFonts w:ascii="Arial" w:hAnsi="Arial" w:cs="Arial"/>
                <w:color w:val="000000"/>
                <w:sz w:val="20"/>
                <w:szCs w:val="20"/>
              </w:rPr>
              <w:t>14.5</w:t>
            </w:r>
            <w:proofErr w:type="gramEnd"/>
            <w:r w:rsidRPr="00C116D5">
              <w:rPr>
                <w:rFonts w:ascii="Arial" w:hAnsi="Arial" w:cs="Arial"/>
                <w:color w:val="000000"/>
                <w:sz w:val="20"/>
                <w:szCs w:val="20"/>
              </w:rPr>
              <w:t xml:space="preserve"> –22.0)</w:t>
            </w:r>
          </w:p>
        </w:tc>
        <w:tc>
          <w:tcPr>
            <w:tcW w:w="1843" w:type="dxa"/>
            <w:vMerge w:val="restart"/>
            <w:vAlign w:val="center"/>
          </w:tcPr>
          <w:p w14:paraId="640CAEE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17.7 ± </w:t>
            </w:r>
            <w:proofErr w:type="gramStart"/>
            <w:r w:rsidRPr="00C116D5">
              <w:rPr>
                <w:rFonts w:ascii="Arial" w:hAnsi="Arial" w:cs="Arial"/>
                <w:color w:val="000000"/>
                <w:sz w:val="20"/>
                <w:szCs w:val="20"/>
              </w:rPr>
              <w:t>4.9</w:t>
            </w:r>
            <w:proofErr w:type="gramEnd"/>
          </w:p>
          <w:p w14:paraId="559F4F1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17.0 (</w:t>
            </w:r>
            <w:proofErr w:type="gramStart"/>
            <w:r w:rsidRPr="00C116D5">
              <w:rPr>
                <w:rFonts w:ascii="Arial" w:hAnsi="Arial" w:cs="Arial"/>
                <w:color w:val="000000"/>
                <w:sz w:val="20"/>
                <w:szCs w:val="20"/>
              </w:rPr>
              <w:t>14.0</w:t>
            </w:r>
            <w:proofErr w:type="gramEnd"/>
            <w:r w:rsidRPr="00C116D5">
              <w:rPr>
                <w:rFonts w:ascii="Arial" w:hAnsi="Arial" w:cs="Arial"/>
                <w:color w:val="000000"/>
                <w:sz w:val="20"/>
                <w:szCs w:val="20"/>
              </w:rPr>
              <w:t xml:space="preserve"> –20.0)</w:t>
            </w:r>
          </w:p>
        </w:tc>
        <w:tc>
          <w:tcPr>
            <w:tcW w:w="1016" w:type="dxa"/>
            <w:vMerge w:val="restart"/>
            <w:vAlign w:val="center"/>
          </w:tcPr>
          <w:p w14:paraId="5BA986B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11A1C2CC"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05BAB4F3"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0.330</w:t>
            </w:r>
            <w:r w:rsidRPr="00C116D5">
              <w:rPr>
                <w:rFonts w:ascii="Arial" w:hAnsi="Arial" w:cs="Arial"/>
                <w:sz w:val="20"/>
                <w:szCs w:val="20"/>
                <w:vertAlign w:val="superscript"/>
                <w:lang w:val="en-US"/>
              </w:rPr>
              <w:t>c</w:t>
            </w:r>
          </w:p>
          <w:p w14:paraId="66BC818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50B65CC7" w14:textId="77777777" w:rsidTr="00023145">
        <w:trPr>
          <w:trHeight w:val="253"/>
        </w:trPr>
        <w:tc>
          <w:tcPr>
            <w:tcW w:w="2093" w:type="dxa"/>
            <w:vMerge/>
            <w:vAlign w:val="center"/>
          </w:tcPr>
          <w:p w14:paraId="74CDACBC" w14:textId="77777777" w:rsidR="008B5297" w:rsidRPr="00C116D5" w:rsidRDefault="008B5297" w:rsidP="00023145">
            <w:pPr>
              <w:rPr>
                <w:rFonts w:ascii="Arial" w:hAnsi="Arial" w:cs="Arial"/>
                <w:b/>
                <w:sz w:val="20"/>
                <w:szCs w:val="20"/>
                <w:lang w:val="en-US"/>
              </w:rPr>
            </w:pPr>
          </w:p>
        </w:tc>
        <w:tc>
          <w:tcPr>
            <w:tcW w:w="1346" w:type="dxa"/>
            <w:vMerge/>
            <w:vAlign w:val="center"/>
          </w:tcPr>
          <w:p w14:paraId="11689BC4" w14:textId="77777777" w:rsidR="008B5297" w:rsidRPr="00C116D5" w:rsidRDefault="008B5297" w:rsidP="00023145">
            <w:pPr>
              <w:rPr>
                <w:rFonts w:ascii="Arial" w:hAnsi="Arial" w:cs="Arial"/>
                <w:sz w:val="20"/>
                <w:szCs w:val="20"/>
                <w:lang w:val="en-US"/>
              </w:rPr>
            </w:pPr>
          </w:p>
        </w:tc>
        <w:tc>
          <w:tcPr>
            <w:tcW w:w="1748" w:type="dxa"/>
            <w:vMerge/>
            <w:vAlign w:val="center"/>
          </w:tcPr>
          <w:p w14:paraId="752C5E3B"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4227E7D5"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0FF5AD86" w14:textId="77777777" w:rsidR="008B5297" w:rsidRPr="00C116D5" w:rsidRDefault="008B5297" w:rsidP="00023145">
            <w:pPr>
              <w:jc w:val="center"/>
              <w:rPr>
                <w:rFonts w:ascii="Arial" w:hAnsi="Arial" w:cs="Arial"/>
                <w:color w:val="000000"/>
                <w:sz w:val="20"/>
                <w:szCs w:val="20"/>
              </w:rPr>
            </w:pPr>
          </w:p>
        </w:tc>
        <w:tc>
          <w:tcPr>
            <w:tcW w:w="1016" w:type="dxa"/>
            <w:vMerge/>
            <w:vAlign w:val="center"/>
          </w:tcPr>
          <w:p w14:paraId="5F0EAAAB" w14:textId="77777777" w:rsidR="008B5297" w:rsidRPr="00C116D5" w:rsidRDefault="008B5297" w:rsidP="00023145">
            <w:pPr>
              <w:jc w:val="center"/>
              <w:rPr>
                <w:rFonts w:ascii="Arial" w:hAnsi="Arial" w:cs="Arial"/>
                <w:sz w:val="20"/>
                <w:szCs w:val="20"/>
                <w:lang w:val="en-US"/>
              </w:rPr>
            </w:pPr>
          </w:p>
        </w:tc>
      </w:tr>
      <w:tr w:rsidR="008B5297" w:rsidRPr="00C116D5" w14:paraId="0D23068E" w14:textId="77777777" w:rsidTr="00023145">
        <w:tc>
          <w:tcPr>
            <w:tcW w:w="2093" w:type="dxa"/>
            <w:vMerge/>
            <w:vAlign w:val="center"/>
          </w:tcPr>
          <w:p w14:paraId="7F122564" w14:textId="77777777" w:rsidR="008B5297" w:rsidRPr="00C116D5" w:rsidRDefault="008B5297" w:rsidP="00023145">
            <w:pPr>
              <w:rPr>
                <w:rFonts w:ascii="Arial" w:hAnsi="Arial" w:cs="Arial"/>
                <w:b/>
                <w:sz w:val="20"/>
                <w:szCs w:val="20"/>
                <w:lang w:val="en-US"/>
              </w:rPr>
            </w:pPr>
          </w:p>
        </w:tc>
        <w:tc>
          <w:tcPr>
            <w:tcW w:w="1346" w:type="dxa"/>
            <w:tcBorders>
              <w:bottom w:val="single" w:sz="4" w:space="0" w:color="auto"/>
            </w:tcBorders>
            <w:vAlign w:val="center"/>
          </w:tcPr>
          <w:p w14:paraId="76316B21"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748" w:type="dxa"/>
            <w:tcBorders>
              <w:bottom w:val="single" w:sz="4" w:space="0" w:color="auto"/>
            </w:tcBorders>
            <w:vAlign w:val="center"/>
          </w:tcPr>
          <w:p w14:paraId="60E7D04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0.871</w:t>
            </w:r>
          </w:p>
        </w:tc>
        <w:tc>
          <w:tcPr>
            <w:tcW w:w="1843" w:type="dxa"/>
            <w:tcBorders>
              <w:bottom w:val="single" w:sz="4" w:space="0" w:color="auto"/>
            </w:tcBorders>
            <w:vAlign w:val="center"/>
          </w:tcPr>
          <w:p w14:paraId="382E981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0.151</w:t>
            </w:r>
          </w:p>
        </w:tc>
        <w:tc>
          <w:tcPr>
            <w:tcW w:w="1843" w:type="dxa"/>
            <w:tcBorders>
              <w:bottom w:val="single" w:sz="4" w:space="0" w:color="auto"/>
            </w:tcBorders>
            <w:vAlign w:val="center"/>
          </w:tcPr>
          <w:p w14:paraId="6E8DE28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0.041</w:t>
            </w:r>
          </w:p>
        </w:tc>
        <w:tc>
          <w:tcPr>
            <w:tcW w:w="1016" w:type="dxa"/>
            <w:tcBorders>
              <w:bottom w:val="single" w:sz="4" w:space="0" w:color="auto"/>
            </w:tcBorders>
            <w:vAlign w:val="center"/>
          </w:tcPr>
          <w:p w14:paraId="54384104" w14:textId="77777777" w:rsidR="008B5297" w:rsidRPr="00C116D5" w:rsidRDefault="008B5297" w:rsidP="00023145">
            <w:pPr>
              <w:jc w:val="center"/>
              <w:rPr>
                <w:rFonts w:ascii="Arial" w:hAnsi="Arial" w:cs="Arial"/>
                <w:sz w:val="20"/>
                <w:szCs w:val="20"/>
                <w:lang w:val="en-US"/>
              </w:rPr>
            </w:pPr>
          </w:p>
        </w:tc>
      </w:tr>
      <w:tr w:rsidR="008B5297" w:rsidRPr="00C116D5" w14:paraId="4A61D88E" w14:textId="77777777" w:rsidTr="00023145">
        <w:tc>
          <w:tcPr>
            <w:tcW w:w="2093" w:type="dxa"/>
            <w:shd w:val="clear" w:color="auto" w:fill="A6A6A6" w:themeFill="background1" w:themeFillShade="A6"/>
            <w:vAlign w:val="center"/>
          </w:tcPr>
          <w:p w14:paraId="13BF2FBC" w14:textId="77777777" w:rsidR="008B5297" w:rsidRPr="00C116D5" w:rsidRDefault="008B5297" w:rsidP="00023145">
            <w:pPr>
              <w:rPr>
                <w:rFonts w:ascii="Arial" w:hAnsi="Arial" w:cs="Arial"/>
                <w:b/>
                <w:sz w:val="20"/>
                <w:szCs w:val="20"/>
                <w:lang w:val="en-US"/>
              </w:rPr>
            </w:pPr>
          </w:p>
        </w:tc>
        <w:tc>
          <w:tcPr>
            <w:tcW w:w="1346" w:type="dxa"/>
            <w:shd w:val="clear" w:color="auto" w:fill="A6A6A6" w:themeFill="background1" w:themeFillShade="A6"/>
            <w:vAlign w:val="center"/>
          </w:tcPr>
          <w:p w14:paraId="2896F0FA" w14:textId="77777777" w:rsidR="008B5297" w:rsidRPr="00C116D5" w:rsidRDefault="008B5297" w:rsidP="00023145">
            <w:pPr>
              <w:rPr>
                <w:rFonts w:ascii="Arial" w:hAnsi="Arial" w:cs="Arial"/>
                <w:sz w:val="20"/>
                <w:szCs w:val="20"/>
                <w:lang w:val="en-US"/>
              </w:rPr>
            </w:pPr>
          </w:p>
        </w:tc>
        <w:tc>
          <w:tcPr>
            <w:tcW w:w="1748" w:type="dxa"/>
            <w:shd w:val="clear" w:color="auto" w:fill="A6A6A6" w:themeFill="background1" w:themeFillShade="A6"/>
            <w:vAlign w:val="center"/>
          </w:tcPr>
          <w:p w14:paraId="41A76AB5" w14:textId="77777777" w:rsidR="008B5297" w:rsidRPr="00C116D5" w:rsidRDefault="008B5297" w:rsidP="00023145">
            <w:pPr>
              <w:jc w:val="center"/>
              <w:rPr>
                <w:rFonts w:ascii="Arial" w:hAnsi="Arial" w:cs="Arial"/>
                <w:sz w:val="20"/>
                <w:szCs w:val="20"/>
                <w:lang w:val="en-US"/>
              </w:rPr>
            </w:pPr>
          </w:p>
        </w:tc>
        <w:tc>
          <w:tcPr>
            <w:tcW w:w="1843" w:type="dxa"/>
            <w:shd w:val="clear" w:color="auto" w:fill="A6A6A6" w:themeFill="background1" w:themeFillShade="A6"/>
            <w:vAlign w:val="center"/>
          </w:tcPr>
          <w:p w14:paraId="4EB56AF5" w14:textId="77777777" w:rsidR="008B5297" w:rsidRPr="00C116D5" w:rsidRDefault="008B5297" w:rsidP="00023145">
            <w:pPr>
              <w:jc w:val="center"/>
              <w:rPr>
                <w:rFonts w:ascii="Arial" w:hAnsi="Arial" w:cs="Arial"/>
                <w:sz w:val="20"/>
                <w:szCs w:val="20"/>
                <w:lang w:val="en-US"/>
              </w:rPr>
            </w:pPr>
          </w:p>
        </w:tc>
        <w:tc>
          <w:tcPr>
            <w:tcW w:w="1843" w:type="dxa"/>
            <w:shd w:val="clear" w:color="auto" w:fill="A6A6A6" w:themeFill="background1" w:themeFillShade="A6"/>
            <w:vAlign w:val="center"/>
          </w:tcPr>
          <w:p w14:paraId="20D5249A" w14:textId="77777777" w:rsidR="008B5297" w:rsidRPr="00C116D5" w:rsidRDefault="008B5297" w:rsidP="00023145">
            <w:pPr>
              <w:jc w:val="center"/>
              <w:rPr>
                <w:rFonts w:ascii="Arial" w:hAnsi="Arial" w:cs="Arial"/>
                <w:sz w:val="20"/>
                <w:szCs w:val="20"/>
                <w:lang w:val="en-US"/>
              </w:rPr>
            </w:pPr>
          </w:p>
        </w:tc>
        <w:tc>
          <w:tcPr>
            <w:tcW w:w="1016" w:type="dxa"/>
            <w:shd w:val="clear" w:color="auto" w:fill="A6A6A6" w:themeFill="background1" w:themeFillShade="A6"/>
            <w:vAlign w:val="center"/>
          </w:tcPr>
          <w:p w14:paraId="2BE9FB7E" w14:textId="77777777" w:rsidR="008B5297" w:rsidRPr="00C116D5" w:rsidRDefault="008B5297" w:rsidP="00023145">
            <w:pPr>
              <w:jc w:val="center"/>
              <w:rPr>
                <w:rFonts w:ascii="Arial" w:hAnsi="Arial" w:cs="Arial"/>
                <w:sz w:val="20"/>
                <w:szCs w:val="20"/>
                <w:lang w:val="en-US"/>
              </w:rPr>
            </w:pPr>
          </w:p>
        </w:tc>
      </w:tr>
      <w:tr w:rsidR="008B5297" w:rsidRPr="00C116D5" w14:paraId="0B3F7BFF" w14:textId="77777777" w:rsidTr="00023145">
        <w:tc>
          <w:tcPr>
            <w:tcW w:w="2093" w:type="dxa"/>
            <w:vMerge w:val="restart"/>
            <w:vAlign w:val="center"/>
          </w:tcPr>
          <w:p w14:paraId="26BD99E0" w14:textId="77777777" w:rsidR="008B5297" w:rsidRPr="00C116D5" w:rsidRDefault="008B5297" w:rsidP="00023145">
            <w:pPr>
              <w:rPr>
                <w:rFonts w:ascii="Arial" w:hAnsi="Arial" w:cs="Arial"/>
                <w:b/>
                <w:sz w:val="20"/>
                <w:szCs w:val="20"/>
                <w:lang w:val="en-US"/>
              </w:rPr>
            </w:pPr>
            <w:r>
              <w:rPr>
                <w:rFonts w:ascii="Arial" w:hAnsi="Arial" w:cs="Arial"/>
                <w:b/>
                <w:sz w:val="20"/>
                <w:szCs w:val="20"/>
                <w:lang w:val="en-US"/>
              </w:rPr>
              <w:t>VFS</w:t>
            </w:r>
          </w:p>
        </w:tc>
        <w:tc>
          <w:tcPr>
            <w:tcW w:w="1346" w:type="dxa"/>
            <w:vAlign w:val="center"/>
          </w:tcPr>
          <w:p w14:paraId="52C4FB7E"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LL</w:t>
            </w:r>
          </w:p>
        </w:tc>
        <w:tc>
          <w:tcPr>
            <w:tcW w:w="1748" w:type="dxa"/>
            <w:vAlign w:val="center"/>
          </w:tcPr>
          <w:p w14:paraId="69F0F7C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2.6 ± </w:t>
            </w:r>
            <w:proofErr w:type="gramStart"/>
            <w:r w:rsidRPr="00C116D5">
              <w:rPr>
                <w:rFonts w:ascii="Arial" w:hAnsi="Arial" w:cs="Arial"/>
                <w:color w:val="000000"/>
                <w:sz w:val="20"/>
                <w:szCs w:val="20"/>
              </w:rPr>
              <w:t>0.8</w:t>
            </w:r>
            <w:proofErr w:type="gramEnd"/>
          </w:p>
          <w:p w14:paraId="5C5F43F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2.0 (</w:t>
            </w:r>
            <w:proofErr w:type="gramStart"/>
            <w:r w:rsidRPr="00C116D5">
              <w:rPr>
                <w:rFonts w:ascii="Arial" w:hAnsi="Arial" w:cs="Arial"/>
                <w:color w:val="000000"/>
                <w:sz w:val="20"/>
                <w:szCs w:val="20"/>
              </w:rPr>
              <w:t>2.0</w:t>
            </w:r>
            <w:proofErr w:type="gramEnd"/>
            <w:r w:rsidRPr="00C116D5">
              <w:rPr>
                <w:rFonts w:ascii="Arial" w:hAnsi="Arial" w:cs="Arial"/>
                <w:color w:val="000000"/>
                <w:sz w:val="20"/>
                <w:szCs w:val="20"/>
              </w:rPr>
              <w:t xml:space="preserve"> – 3.0)</w:t>
            </w:r>
          </w:p>
        </w:tc>
        <w:tc>
          <w:tcPr>
            <w:tcW w:w="1843" w:type="dxa"/>
            <w:vAlign w:val="center"/>
          </w:tcPr>
          <w:p w14:paraId="4DBE77E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1.0 ± </w:t>
            </w:r>
            <w:proofErr w:type="gramStart"/>
            <w:r w:rsidRPr="00C116D5">
              <w:rPr>
                <w:rFonts w:ascii="Arial" w:hAnsi="Arial" w:cs="Arial"/>
                <w:color w:val="000000"/>
                <w:sz w:val="20"/>
                <w:szCs w:val="20"/>
              </w:rPr>
              <w:t>0.0</w:t>
            </w:r>
            <w:proofErr w:type="gramEnd"/>
          </w:p>
          <w:p w14:paraId="1F0A9C5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1.0 (</w:t>
            </w:r>
            <w:proofErr w:type="gramStart"/>
            <w:r w:rsidRPr="00C116D5">
              <w:rPr>
                <w:rFonts w:ascii="Arial" w:hAnsi="Arial" w:cs="Arial"/>
                <w:color w:val="000000"/>
                <w:sz w:val="20"/>
                <w:szCs w:val="20"/>
              </w:rPr>
              <w:t>1.0</w:t>
            </w:r>
            <w:proofErr w:type="gramEnd"/>
            <w:r w:rsidRPr="00C116D5">
              <w:rPr>
                <w:rFonts w:ascii="Arial" w:hAnsi="Arial" w:cs="Arial"/>
                <w:color w:val="000000"/>
                <w:sz w:val="20"/>
                <w:szCs w:val="20"/>
              </w:rPr>
              <w:t xml:space="preserve"> –1.0)</w:t>
            </w:r>
          </w:p>
        </w:tc>
        <w:tc>
          <w:tcPr>
            <w:tcW w:w="1843" w:type="dxa"/>
            <w:vAlign w:val="center"/>
          </w:tcPr>
          <w:p w14:paraId="751D14D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1.0 ± </w:t>
            </w:r>
            <w:proofErr w:type="gramStart"/>
            <w:r w:rsidRPr="00C116D5">
              <w:rPr>
                <w:rFonts w:ascii="Arial" w:hAnsi="Arial" w:cs="Arial"/>
                <w:color w:val="000000"/>
                <w:sz w:val="20"/>
                <w:szCs w:val="20"/>
              </w:rPr>
              <w:t>0.0</w:t>
            </w:r>
            <w:proofErr w:type="gramEnd"/>
          </w:p>
          <w:p w14:paraId="77B473E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1.0 (</w:t>
            </w:r>
            <w:proofErr w:type="gramStart"/>
            <w:r w:rsidRPr="00C116D5">
              <w:rPr>
                <w:rFonts w:ascii="Arial" w:hAnsi="Arial" w:cs="Arial"/>
                <w:color w:val="000000"/>
                <w:sz w:val="20"/>
                <w:szCs w:val="20"/>
              </w:rPr>
              <w:t>1.0</w:t>
            </w:r>
            <w:proofErr w:type="gramEnd"/>
            <w:r w:rsidRPr="00C116D5">
              <w:rPr>
                <w:rFonts w:ascii="Arial" w:hAnsi="Arial" w:cs="Arial"/>
                <w:color w:val="000000"/>
                <w:sz w:val="20"/>
                <w:szCs w:val="20"/>
              </w:rPr>
              <w:t xml:space="preserve"> –1.0)</w:t>
            </w:r>
          </w:p>
        </w:tc>
        <w:tc>
          <w:tcPr>
            <w:tcW w:w="1016" w:type="dxa"/>
            <w:vAlign w:val="center"/>
          </w:tcPr>
          <w:p w14:paraId="60CE9CE9"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7166819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0485793D"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c</w:t>
            </w:r>
          </w:p>
          <w:p w14:paraId="0F88B97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6ACAB3CF" w14:textId="77777777" w:rsidTr="00023145">
        <w:trPr>
          <w:trHeight w:val="253"/>
        </w:trPr>
        <w:tc>
          <w:tcPr>
            <w:tcW w:w="2093" w:type="dxa"/>
            <w:vMerge/>
            <w:vAlign w:val="center"/>
          </w:tcPr>
          <w:p w14:paraId="1D84ABD9" w14:textId="77777777" w:rsidR="008B5297" w:rsidRPr="00C116D5" w:rsidRDefault="008B5297" w:rsidP="00023145">
            <w:pPr>
              <w:rPr>
                <w:rFonts w:ascii="Arial" w:hAnsi="Arial" w:cs="Arial"/>
                <w:b/>
                <w:sz w:val="20"/>
                <w:szCs w:val="20"/>
                <w:lang w:val="en-US"/>
              </w:rPr>
            </w:pPr>
          </w:p>
        </w:tc>
        <w:tc>
          <w:tcPr>
            <w:tcW w:w="1346" w:type="dxa"/>
            <w:vMerge w:val="restart"/>
            <w:vAlign w:val="center"/>
          </w:tcPr>
          <w:p w14:paraId="05C15EE1"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LM</w:t>
            </w:r>
            <w:r w:rsidRPr="00C116D5">
              <w:rPr>
                <w:rFonts w:ascii="Arial" w:hAnsi="Arial" w:cs="Arial"/>
                <w:sz w:val="20"/>
                <w:szCs w:val="20"/>
                <w:lang w:val="en-US"/>
              </w:rPr>
              <w:t xml:space="preserve"> + </w:t>
            </w:r>
            <w:r w:rsidRPr="003654C8">
              <w:rPr>
                <w:rFonts w:ascii="Arial" w:hAnsi="Arial" w:cs="Arial"/>
                <w:i/>
                <w:sz w:val="20"/>
                <w:szCs w:val="20"/>
                <w:lang w:val="en-US"/>
              </w:rPr>
              <w:t>MM</w:t>
            </w:r>
          </w:p>
        </w:tc>
        <w:tc>
          <w:tcPr>
            <w:tcW w:w="1748" w:type="dxa"/>
            <w:vMerge w:val="restart"/>
            <w:vAlign w:val="center"/>
          </w:tcPr>
          <w:p w14:paraId="6661964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2.7 ± </w:t>
            </w:r>
            <w:proofErr w:type="gramStart"/>
            <w:r w:rsidRPr="00C116D5">
              <w:rPr>
                <w:rFonts w:ascii="Arial" w:hAnsi="Arial" w:cs="Arial"/>
                <w:color w:val="000000"/>
                <w:sz w:val="20"/>
                <w:szCs w:val="20"/>
              </w:rPr>
              <w:t>0.8</w:t>
            </w:r>
            <w:proofErr w:type="gramEnd"/>
          </w:p>
          <w:p w14:paraId="48D033D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3.0 (</w:t>
            </w:r>
            <w:proofErr w:type="gramStart"/>
            <w:r w:rsidRPr="00C116D5">
              <w:rPr>
                <w:rFonts w:ascii="Arial" w:hAnsi="Arial" w:cs="Arial"/>
                <w:color w:val="000000"/>
                <w:sz w:val="20"/>
                <w:szCs w:val="20"/>
              </w:rPr>
              <w:t>2.0</w:t>
            </w:r>
            <w:proofErr w:type="gramEnd"/>
            <w:r w:rsidRPr="00C116D5">
              <w:rPr>
                <w:rFonts w:ascii="Arial" w:hAnsi="Arial" w:cs="Arial"/>
                <w:color w:val="000000"/>
                <w:sz w:val="20"/>
                <w:szCs w:val="20"/>
              </w:rPr>
              <w:t xml:space="preserve"> – 3.0)</w:t>
            </w:r>
          </w:p>
        </w:tc>
        <w:tc>
          <w:tcPr>
            <w:tcW w:w="1843" w:type="dxa"/>
            <w:vMerge w:val="restart"/>
            <w:vAlign w:val="center"/>
          </w:tcPr>
          <w:p w14:paraId="76624C9F"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1.0 ± </w:t>
            </w:r>
            <w:proofErr w:type="gramStart"/>
            <w:r w:rsidRPr="00C116D5">
              <w:rPr>
                <w:rFonts w:ascii="Arial" w:hAnsi="Arial" w:cs="Arial"/>
                <w:color w:val="000000"/>
                <w:sz w:val="20"/>
                <w:szCs w:val="20"/>
              </w:rPr>
              <w:t>0.0</w:t>
            </w:r>
            <w:proofErr w:type="gramEnd"/>
          </w:p>
          <w:p w14:paraId="3422577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1.0 (</w:t>
            </w:r>
            <w:proofErr w:type="gramStart"/>
            <w:r w:rsidRPr="00C116D5">
              <w:rPr>
                <w:rFonts w:ascii="Arial" w:hAnsi="Arial" w:cs="Arial"/>
                <w:color w:val="000000"/>
                <w:sz w:val="20"/>
                <w:szCs w:val="20"/>
              </w:rPr>
              <w:t>1.0</w:t>
            </w:r>
            <w:proofErr w:type="gramEnd"/>
            <w:r w:rsidRPr="00C116D5">
              <w:rPr>
                <w:rFonts w:ascii="Arial" w:hAnsi="Arial" w:cs="Arial"/>
                <w:color w:val="000000"/>
                <w:sz w:val="20"/>
                <w:szCs w:val="20"/>
              </w:rPr>
              <w:t xml:space="preserve"> –1.0)</w:t>
            </w:r>
          </w:p>
        </w:tc>
        <w:tc>
          <w:tcPr>
            <w:tcW w:w="1843" w:type="dxa"/>
            <w:vMerge w:val="restart"/>
            <w:vAlign w:val="center"/>
          </w:tcPr>
          <w:p w14:paraId="248232B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1.0 ± </w:t>
            </w:r>
            <w:proofErr w:type="gramStart"/>
            <w:r w:rsidRPr="00C116D5">
              <w:rPr>
                <w:rFonts w:ascii="Arial" w:hAnsi="Arial" w:cs="Arial"/>
                <w:color w:val="000000"/>
                <w:sz w:val="20"/>
                <w:szCs w:val="20"/>
              </w:rPr>
              <w:t>0.0</w:t>
            </w:r>
            <w:proofErr w:type="gramEnd"/>
          </w:p>
          <w:p w14:paraId="31DF8E9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1.0 (</w:t>
            </w:r>
            <w:proofErr w:type="gramStart"/>
            <w:r w:rsidRPr="00C116D5">
              <w:rPr>
                <w:rFonts w:ascii="Arial" w:hAnsi="Arial" w:cs="Arial"/>
                <w:color w:val="000000"/>
                <w:sz w:val="20"/>
                <w:szCs w:val="20"/>
              </w:rPr>
              <w:t>1.0</w:t>
            </w:r>
            <w:proofErr w:type="gramEnd"/>
            <w:r w:rsidRPr="00C116D5">
              <w:rPr>
                <w:rFonts w:ascii="Arial" w:hAnsi="Arial" w:cs="Arial"/>
                <w:color w:val="000000"/>
                <w:sz w:val="20"/>
                <w:szCs w:val="20"/>
              </w:rPr>
              <w:t xml:space="preserve"> –1.0)</w:t>
            </w:r>
          </w:p>
        </w:tc>
        <w:tc>
          <w:tcPr>
            <w:tcW w:w="1016" w:type="dxa"/>
            <w:vMerge w:val="restart"/>
            <w:vAlign w:val="center"/>
          </w:tcPr>
          <w:p w14:paraId="686CF11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366AFEB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41B98A44"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1.000</w:t>
            </w:r>
            <w:r w:rsidRPr="00C116D5">
              <w:rPr>
                <w:rFonts w:ascii="Arial" w:hAnsi="Arial" w:cs="Arial"/>
                <w:sz w:val="20"/>
                <w:szCs w:val="20"/>
                <w:vertAlign w:val="superscript"/>
                <w:lang w:val="en-US"/>
              </w:rPr>
              <w:t>c</w:t>
            </w:r>
          </w:p>
          <w:p w14:paraId="05FA34DD"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2E318AC6" w14:textId="77777777" w:rsidTr="00023145">
        <w:trPr>
          <w:trHeight w:val="253"/>
        </w:trPr>
        <w:tc>
          <w:tcPr>
            <w:tcW w:w="2093" w:type="dxa"/>
            <w:vMerge/>
            <w:vAlign w:val="center"/>
          </w:tcPr>
          <w:p w14:paraId="7D610EDF" w14:textId="77777777" w:rsidR="008B5297" w:rsidRPr="00C116D5" w:rsidRDefault="008B5297" w:rsidP="00023145">
            <w:pPr>
              <w:rPr>
                <w:rFonts w:ascii="Arial" w:hAnsi="Arial" w:cs="Arial"/>
                <w:b/>
                <w:sz w:val="20"/>
                <w:szCs w:val="20"/>
                <w:lang w:val="en-US"/>
              </w:rPr>
            </w:pPr>
          </w:p>
        </w:tc>
        <w:tc>
          <w:tcPr>
            <w:tcW w:w="1346" w:type="dxa"/>
            <w:vMerge/>
            <w:vAlign w:val="center"/>
          </w:tcPr>
          <w:p w14:paraId="0F8478D3" w14:textId="77777777" w:rsidR="008B5297" w:rsidRPr="00C116D5" w:rsidRDefault="008B5297" w:rsidP="00023145">
            <w:pPr>
              <w:rPr>
                <w:rFonts w:ascii="Arial" w:hAnsi="Arial" w:cs="Arial"/>
                <w:sz w:val="20"/>
                <w:szCs w:val="20"/>
                <w:lang w:val="en-US"/>
              </w:rPr>
            </w:pPr>
          </w:p>
        </w:tc>
        <w:tc>
          <w:tcPr>
            <w:tcW w:w="1748" w:type="dxa"/>
            <w:vMerge/>
            <w:vAlign w:val="center"/>
          </w:tcPr>
          <w:p w14:paraId="681BFB36"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1481282D"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39EF0CDB" w14:textId="77777777" w:rsidR="008B5297" w:rsidRPr="00C116D5" w:rsidRDefault="008B5297" w:rsidP="00023145">
            <w:pPr>
              <w:jc w:val="center"/>
              <w:rPr>
                <w:rFonts w:ascii="Arial" w:hAnsi="Arial" w:cs="Arial"/>
                <w:color w:val="000000"/>
                <w:sz w:val="20"/>
                <w:szCs w:val="20"/>
              </w:rPr>
            </w:pPr>
          </w:p>
        </w:tc>
        <w:tc>
          <w:tcPr>
            <w:tcW w:w="1016" w:type="dxa"/>
            <w:vMerge/>
            <w:vAlign w:val="center"/>
          </w:tcPr>
          <w:p w14:paraId="22CD047A" w14:textId="77777777" w:rsidR="008B5297" w:rsidRPr="00C116D5" w:rsidRDefault="008B5297" w:rsidP="00023145">
            <w:pPr>
              <w:jc w:val="center"/>
              <w:rPr>
                <w:rFonts w:ascii="Arial" w:hAnsi="Arial" w:cs="Arial"/>
                <w:sz w:val="20"/>
                <w:szCs w:val="20"/>
                <w:lang w:val="en-US"/>
              </w:rPr>
            </w:pPr>
          </w:p>
        </w:tc>
      </w:tr>
      <w:tr w:rsidR="008B5297" w:rsidRPr="00C116D5" w14:paraId="05897976" w14:textId="77777777" w:rsidTr="00023145">
        <w:tc>
          <w:tcPr>
            <w:tcW w:w="2093" w:type="dxa"/>
            <w:vMerge/>
            <w:vAlign w:val="center"/>
          </w:tcPr>
          <w:p w14:paraId="3DA58839" w14:textId="77777777" w:rsidR="008B5297" w:rsidRPr="00C116D5" w:rsidRDefault="008B5297" w:rsidP="00023145">
            <w:pPr>
              <w:rPr>
                <w:rFonts w:ascii="Arial" w:hAnsi="Arial" w:cs="Arial"/>
                <w:b/>
                <w:sz w:val="20"/>
                <w:szCs w:val="20"/>
                <w:lang w:val="en-US"/>
              </w:rPr>
            </w:pPr>
          </w:p>
        </w:tc>
        <w:tc>
          <w:tcPr>
            <w:tcW w:w="1346" w:type="dxa"/>
            <w:vAlign w:val="center"/>
          </w:tcPr>
          <w:p w14:paraId="1267D8B0"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748" w:type="dxa"/>
            <w:vAlign w:val="center"/>
          </w:tcPr>
          <w:p w14:paraId="34F0939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0.267</w:t>
            </w:r>
          </w:p>
        </w:tc>
        <w:tc>
          <w:tcPr>
            <w:tcW w:w="1843" w:type="dxa"/>
            <w:vAlign w:val="center"/>
          </w:tcPr>
          <w:p w14:paraId="0C5A851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1.000</w:t>
            </w:r>
          </w:p>
        </w:tc>
        <w:tc>
          <w:tcPr>
            <w:tcW w:w="1843" w:type="dxa"/>
            <w:vAlign w:val="center"/>
          </w:tcPr>
          <w:p w14:paraId="07B05B3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1.000</w:t>
            </w:r>
          </w:p>
        </w:tc>
        <w:tc>
          <w:tcPr>
            <w:tcW w:w="1016" w:type="dxa"/>
            <w:vAlign w:val="center"/>
          </w:tcPr>
          <w:p w14:paraId="13A6EAC6" w14:textId="77777777" w:rsidR="008B5297" w:rsidRPr="00C116D5" w:rsidRDefault="008B5297" w:rsidP="00023145">
            <w:pPr>
              <w:jc w:val="center"/>
              <w:rPr>
                <w:rFonts w:ascii="Arial" w:hAnsi="Arial" w:cs="Arial"/>
                <w:sz w:val="20"/>
                <w:szCs w:val="20"/>
                <w:lang w:val="en-US"/>
              </w:rPr>
            </w:pPr>
          </w:p>
        </w:tc>
      </w:tr>
      <w:tr w:rsidR="008B5297" w:rsidRPr="00C116D5" w14:paraId="2DEC1741" w14:textId="77777777" w:rsidTr="00023145">
        <w:tc>
          <w:tcPr>
            <w:tcW w:w="2093" w:type="dxa"/>
            <w:shd w:val="clear" w:color="auto" w:fill="A6A6A6" w:themeFill="background1" w:themeFillShade="A6"/>
            <w:vAlign w:val="center"/>
          </w:tcPr>
          <w:p w14:paraId="06055AF1" w14:textId="77777777" w:rsidR="008B5297" w:rsidRPr="00C116D5" w:rsidRDefault="008B5297" w:rsidP="00023145">
            <w:pPr>
              <w:rPr>
                <w:rFonts w:ascii="Arial" w:hAnsi="Arial" w:cs="Arial"/>
                <w:b/>
                <w:sz w:val="20"/>
                <w:szCs w:val="20"/>
                <w:lang w:val="en-US"/>
              </w:rPr>
            </w:pPr>
          </w:p>
        </w:tc>
        <w:tc>
          <w:tcPr>
            <w:tcW w:w="1346" w:type="dxa"/>
            <w:shd w:val="clear" w:color="auto" w:fill="A6A6A6" w:themeFill="background1" w:themeFillShade="A6"/>
            <w:vAlign w:val="center"/>
          </w:tcPr>
          <w:p w14:paraId="167E9670" w14:textId="77777777" w:rsidR="008B5297" w:rsidRPr="00C116D5" w:rsidRDefault="008B5297" w:rsidP="00023145">
            <w:pPr>
              <w:rPr>
                <w:rFonts w:ascii="Arial" w:hAnsi="Arial" w:cs="Arial"/>
                <w:sz w:val="20"/>
                <w:szCs w:val="20"/>
                <w:lang w:val="en-US"/>
              </w:rPr>
            </w:pPr>
          </w:p>
        </w:tc>
        <w:tc>
          <w:tcPr>
            <w:tcW w:w="1748" w:type="dxa"/>
            <w:shd w:val="clear" w:color="auto" w:fill="A6A6A6" w:themeFill="background1" w:themeFillShade="A6"/>
            <w:vAlign w:val="center"/>
          </w:tcPr>
          <w:p w14:paraId="115DF3B9" w14:textId="77777777" w:rsidR="008B5297" w:rsidRPr="00C116D5" w:rsidRDefault="008B5297" w:rsidP="00023145">
            <w:pPr>
              <w:jc w:val="center"/>
              <w:rPr>
                <w:rFonts w:ascii="Arial" w:hAnsi="Arial" w:cs="Arial"/>
                <w:sz w:val="20"/>
                <w:szCs w:val="20"/>
                <w:lang w:val="en-US"/>
              </w:rPr>
            </w:pPr>
          </w:p>
        </w:tc>
        <w:tc>
          <w:tcPr>
            <w:tcW w:w="1843" w:type="dxa"/>
            <w:shd w:val="clear" w:color="auto" w:fill="A6A6A6" w:themeFill="background1" w:themeFillShade="A6"/>
            <w:vAlign w:val="center"/>
          </w:tcPr>
          <w:p w14:paraId="5C5BBA0D" w14:textId="77777777" w:rsidR="008B5297" w:rsidRPr="00C116D5" w:rsidRDefault="008B5297" w:rsidP="00023145">
            <w:pPr>
              <w:jc w:val="center"/>
              <w:rPr>
                <w:rFonts w:ascii="Arial" w:hAnsi="Arial" w:cs="Arial"/>
                <w:sz w:val="20"/>
                <w:szCs w:val="20"/>
                <w:lang w:val="en-US"/>
              </w:rPr>
            </w:pPr>
          </w:p>
        </w:tc>
        <w:tc>
          <w:tcPr>
            <w:tcW w:w="1843" w:type="dxa"/>
            <w:shd w:val="clear" w:color="auto" w:fill="A6A6A6" w:themeFill="background1" w:themeFillShade="A6"/>
            <w:vAlign w:val="center"/>
          </w:tcPr>
          <w:p w14:paraId="45FD6741" w14:textId="77777777" w:rsidR="008B5297" w:rsidRPr="00C116D5" w:rsidRDefault="008B5297" w:rsidP="00023145">
            <w:pPr>
              <w:jc w:val="center"/>
              <w:rPr>
                <w:rFonts w:ascii="Arial" w:hAnsi="Arial" w:cs="Arial"/>
                <w:sz w:val="20"/>
                <w:szCs w:val="20"/>
                <w:lang w:val="en-US"/>
              </w:rPr>
            </w:pPr>
          </w:p>
        </w:tc>
        <w:tc>
          <w:tcPr>
            <w:tcW w:w="1016" w:type="dxa"/>
            <w:shd w:val="clear" w:color="auto" w:fill="A6A6A6" w:themeFill="background1" w:themeFillShade="A6"/>
            <w:vAlign w:val="center"/>
          </w:tcPr>
          <w:p w14:paraId="256EFCFC" w14:textId="77777777" w:rsidR="008B5297" w:rsidRPr="00C116D5" w:rsidRDefault="008B5297" w:rsidP="00023145">
            <w:pPr>
              <w:jc w:val="center"/>
              <w:rPr>
                <w:rFonts w:ascii="Arial" w:hAnsi="Arial" w:cs="Arial"/>
                <w:sz w:val="20"/>
                <w:szCs w:val="20"/>
                <w:lang w:val="en-US"/>
              </w:rPr>
            </w:pPr>
          </w:p>
        </w:tc>
      </w:tr>
      <w:tr w:rsidR="008B5297" w:rsidRPr="00C116D5" w14:paraId="74ECAC61" w14:textId="77777777" w:rsidTr="00023145">
        <w:tc>
          <w:tcPr>
            <w:tcW w:w="2093" w:type="dxa"/>
            <w:vMerge w:val="restart"/>
            <w:vAlign w:val="center"/>
          </w:tcPr>
          <w:p w14:paraId="5544EBEF"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MD</w:t>
            </w:r>
          </w:p>
        </w:tc>
        <w:tc>
          <w:tcPr>
            <w:tcW w:w="1346" w:type="dxa"/>
            <w:vAlign w:val="center"/>
          </w:tcPr>
          <w:p w14:paraId="501C0910"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LL</w:t>
            </w:r>
          </w:p>
        </w:tc>
        <w:tc>
          <w:tcPr>
            <w:tcW w:w="1748" w:type="dxa"/>
            <w:vAlign w:val="center"/>
          </w:tcPr>
          <w:p w14:paraId="5E94917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-6.3 ± </w:t>
            </w:r>
            <w:proofErr w:type="gramStart"/>
            <w:r w:rsidRPr="00C116D5">
              <w:rPr>
                <w:rFonts w:ascii="Arial" w:hAnsi="Arial" w:cs="Arial"/>
                <w:color w:val="000000"/>
                <w:sz w:val="20"/>
                <w:szCs w:val="20"/>
              </w:rPr>
              <w:t>5.4</w:t>
            </w:r>
            <w:proofErr w:type="gramEnd"/>
          </w:p>
          <w:p w14:paraId="049D563B"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-3.9 (-</w:t>
            </w:r>
            <w:proofErr w:type="gramStart"/>
            <w:r w:rsidRPr="00C116D5">
              <w:rPr>
                <w:rFonts w:ascii="Arial" w:hAnsi="Arial" w:cs="Arial"/>
                <w:color w:val="000000"/>
                <w:sz w:val="20"/>
                <w:szCs w:val="20"/>
              </w:rPr>
              <w:t>7.5</w:t>
            </w:r>
            <w:proofErr w:type="gramEnd"/>
            <w:r w:rsidRPr="00C116D5">
              <w:rPr>
                <w:rFonts w:ascii="Arial" w:hAnsi="Arial" w:cs="Arial"/>
                <w:color w:val="000000"/>
                <w:sz w:val="20"/>
                <w:szCs w:val="20"/>
              </w:rPr>
              <w:t xml:space="preserve"> – -2.4)</w:t>
            </w:r>
          </w:p>
        </w:tc>
        <w:tc>
          <w:tcPr>
            <w:tcW w:w="1843" w:type="dxa"/>
            <w:vAlign w:val="center"/>
          </w:tcPr>
          <w:p w14:paraId="2301BA4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-1.0 ± </w:t>
            </w:r>
            <w:proofErr w:type="gramStart"/>
            <w:r w:rsidRPr="00C116D5">
              <w:rPr>
                <w:rFonts w:ascii="Arial" w:hAnsi="Arial" w:cs="Arial"/>
                <w:color w:val="000000"/>
                <w:sz w:val="20"/>
                <w:szCs w:val="20"/>
              </w:rPr>
              <w:t>0.6</w:t>
            </w:r>
            <w:proofErr w:type="gramEnd"/>
          </w:p>
          <w:p w14:paraId="1454DD8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-0.9 (-</w:t>
            </w:r>
            <w:proofErr w:type="gramStart"/>
            <w:r w:rsidRPr="00C116D5">
              <w:rPr>
                <w:rFonts w:ascii="Arial" w:hAnsi="Arial" w:cs="Arial"/>
                <w:color w:val="000000"/>
                <w:sz w:val="20"/>
                <w:szCs w:val="20"/>
              </w:rPr>
              <w:t>1.5</w:t>
            </w:r>
            <w:proofErr w:type="gramEnd"/>
            <w:r w:rsidRPr="00C116D5">
              <w:rPr>
                <w:rFonts w:ascii="Arial" w:hAnsi="Arial" w:cs="Arial"/>
                <w:color w:val="000000"/>
                <w:sz w:val="20"/>
                <w:szCs w:val="20"/>
              </w:rPr>
              <w:t xml:space="preserve"> – -0.6)</w:t>
            </w:r>
          </w:p>
        </w:tc>
        <w:tc>
          <w:tcPr>
            <w:tcW w:w="1843" w:type="dxa"/>
            <w:vAlign w:val="center"/>
          </w:tcPr>
          <w:p w14:paraId="16C3A82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-0.9 ± </w:t>
            </w:r>
            <w:proofErr w:type="gramStart"/>
            <w:r w:rsidRPr="00C116D5">
              <w:rPr>
                <w:rFonts w:ascii="Arial" w:hAnsi="Arial" w:cs="Arial"/>
                <w:color w:val="000000"/>
                <w:sz w:val="20"/>
                <w:szCs w:val="20"/>
              </w:rPr>
              <w:t>0.6</w:t>
            </w:r>
            <w:proofErr w:type="gramEnd"/>
          </w:p>
          <w:p w14:paraId="6B16189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-0.8 (-</w:t>
            </w:r>
            <w:proofErr w:type="gramStart"/>
            <w:r w:rsidRPr="00C116D5">
              <w:rPr>
                <w:rFonts w:ascii="Arial" w:hAnsi="Arial" w:cs="Arial"/>
                <w:color w:val="000000"/>
                <w:sz w:val="20"/>
                <w:szCs w:val="20"/>
              </w:rPr>
              <w:t>1.4</w:t>
            </w:r>
            <w:proofErr w:type="gramEnd"/>
            <w:r w:rsidRPr="00C116D5">
              <w:rPr>
                <w:rFonts w:ascii="Arial" w:hAnsi="Arial" w:cs="Arial"/>
                <w:color w:val="000000"/>
                <w:sz w:val="20"/>
                <w:szCs w:val="20"/>
              </w:rPr>
              <w:t xml:space="preserve"> – -0.4)</w:t>
            </w:r>
          </w:p>
        </w:tc>
        <w:tc>
          <w:tcPr>
            <w:tcW w:w="1016" w:type="dxa"/>
            <w:vAlign w:val="center"/>
          </w:tcPr>
          <w:p w14:paraId="49BB06F7"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270719F5"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567B98E1"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0.278</w:t>
            </w:r>
            <w:r w:rsidRPr="00C116D5">
              <w:rPr>
                <w:rFonts w:ascii="Arial" w:hAnsi="Arial" w:cs="Arial"/>
                <w:sz w:val="20"/>
                <w:szCs w:val="20"/>
                <w:vertAlign w:val="superscript"/>
                <w:lang w:val="en-US"/>
              </w:rPr>
              <w:t>c</w:t>
            </w:r>
          </w:p>
          <w:p w14:paraId="5EA4D783"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68FCAA20" w14:textId="77777777" w:rsidTr="00023145">
        <w:trPr>
          <w:trHeight w:val="253"/>
        </w:trPr>
        <w:tc>
          <w:tcPr>
            <w:tcW w:w="2093" w:type="dxa"/>
            <w:vMerge/>
            <w:vAlign w:val="center"/>
          </w:tcPr>
          <w:p w14:paraId="369E05BE" w14:textId="77777777" w:rsidR="008B5297" w:rsidRPr="00C116D5" w:rsidRDefault="008B5297" w:rsidP="00023145">
            <w:pPr>
              <w:rPr>
                <w:rFonts w:ascii="Arial" w:hAnsi="Arial" w:cs="Arial"/>
                <w:b/>
                <w:sz w:val="20"/>
                <w:szCs w:val="20"/>
                <w:lang w:val="en-US"/>
              </w:rPr>
            </w:pPr>
          </w:p>
        </w:tc>
        <w:tc>
          <w:tcPr>
            <w:tcW w:w="1346" w:type="dxa"/>
            <w:vMerge w:val="restart"/>
            <w:vAlign w:val="center"/>
          </w:tcPr>
          <w:p w14:paraId="674F1147"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LM</w:t>
            </w:r>
            <w:r w:rsidRPr="00C116D5">
              <w:rPr>
                <w:rFonts w:ascii="Arial" w:hAnsi="Arial" w:cs="Arial"/>
                <w:sz w:val="20"/>
                <w:szCs w:val="20"/>
                <w:lang w:val="en-US"/>
              </w:rPr>
              <w:t xml:space="preserve"> + </w:t>
            </w:r>
            <w:r w:rsidRPr="003654C8">
              <w:rPr>
                <w:rFonts w:ascii="Arial" w:hAnsi="Arial" w:cs="Arial"/>
                <w:i/>
                <w:sz w:val="20"/>
                <w:szCs w:val="20"/>
                <w:lang w:val="en-US"/>
              </w:rPr>
              <w:t>MM</w:t>
            </w:r>
          </w:p>
        </w:tc>
        <w:tc>
          <w:tcPr>
            <w:tcW w:w="1748" w:type="dxa"/>
            <w:vMerge w:val="restart"/>
            <w:vAlign w:val="center"/>
          </w:tcPr>
          <w:p w14:paraId="5F56C70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-7.0 ± </w:t>
            </w:r>
            <w:proofErr w:type="gramStart"/>
            <w:r w:rsidRPr="00C116D5">
              <w:rPr>
                <w:rFonts w:ascii="Arial" w:hAnsi="Arial" w:cs="Arial"/>
                <w:color w:val="000000"/>
                <w:sz w:val="20"/>
                <w:szCs w:val="20"/>
              </w:rPr>
              <w:t>6.0</w:t>
            </w:r>
            <w:proofErr w:type="gramEnd"/>
          </w:p>
          <w:p w14:paraId="1F1E4983"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-6.3 (-</w:t>
            </w:r>
            <w:proofErr w:type="gramStart"/>
            <w:r w:rsidRPr="00C116D5">
              <w:rPr>
                <w:rFonts w:ascii="Arial" w:hAnsi="Arial" w:cs="Arial"/>
                <w:color w:val="000000"/>
                <w:sz w:val="20"/>
                <w:szCs w:val="20"/>
              </w:rPr>
              <w:t>7.8</w:t>
            </w:r>
            <w:proofErr w:type="gramEnd"/>
            <w:r w:rsidRPr="00C116D5">
              <w:rPr>
                <w:rFonts w:ascii="Arial" w:hAnsi="Arial" w:cs="Arial"/>
                <w:color w:val="000000"/>
                <w:sz w:val="20"/>
                <w:szCs w:val="20"/>
              </w:rPr>
              <w:t xml:space="preserve"> – -2.9)</w:t>
            </w:r>
          </w:p>
        </w:tc>
        <w:tc>
          <w:tcPr>
            <w:tcW w:w="1843" w:type="dxa"/>
            <w:vMerge w:val="restart"/>
            <w:vAlign w:val="center"/>
          </w:tcPr>
          <w:p w14:paraId="67F6E4A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-1.0 ± </w:t>
            </w:r>
            <w:proofErr w:type="gramStart"/>
            <w:r w:rsidRPr="00C116D5">
              <w:rPr>
                <w:rFonts w:ascii="Arial" w:hAnsi="Arial" w:cs="Arial"/>
                <w:color w:val="000000"/>
                <w:sz w:val="20"/>
                <w:szCs w:val="20"/>
              </w:rPr>
              <w:t>0.6</w:t>
            </w:r>
            <w:proofErr w:type="gramEnd"/>
          </w:p>
          <w:p w14:paraId="05ADDD9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-1.1 (-</w:t>
            </w:r>
            <w:proofErr w:type="gramStart"/>
            <w:r w:rsidRPr="00C116D5">
              <w:rPr>
                <w:rFonts w:ascii="Arial" w:hAnsi="Arial" w:cs="Arial"/>
                <w:color w:val="000000"/>
                <w:sz w:val="20"/>
                <w:szCs w:val="20"/>
              </w:rPr>
              <w:t>1.4</w:t>
            </w:r>
            <w:proofErr w:type="gramEnd"/>
            <w:r w:rsidRPr="00C116D5">
              <w:rPr>
                <w:rFonts w:ascii="Arial" w:hAnsi="Arial" w:cs="Arial"/>
                <w:color w:val="000000"/>
                <w:sz w:val="20"/>
                <w:szCs w:val="20"/>
              </w:rPr>
              <w:t xml:space="preserve"> – -0.4)</w:t>
            </w:r>
          </w:p>
        </w:tc>
        <w:tc>
          <w:tcPr>
            <w:tcW w:w="1843" w:type="dxa"/>
            <w:vMerge w:val="restart"/>
            <w:vAlign w:val="center"/>
          </w:tcPr>
          <w:p w14:paraId="7A1BA3C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-0.8 ± </w:t>
            </w:r>
            <w:proofErr w:type="gramStart"/>
            <w:r w:rsidRPr="00C116D5">
              <w:rPr>
                <w:rFonts w:ascii="Arial" w:hAnsi="Arial" w:cs="Arial"/>
                <w:color w:val="000000"/>
                <w:sz w:val="20"/>
                <w:szCs w:val="20"/>
              </w:rPr>
              <w:t>0.5</w:t>
            </w:r>
            <w:proofErr w:type="gramEnd"/>
          </w:p>
          <w:p w14:paraId="1167F287"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-0.7 (-</w:t>
            </w:r>
            <w:proofErr w:type="gramStart"/>
            <w:r w:rsidRPr="00C116D5">
              <w:rPr>
                <w:rFonts w:ascii="Arial" w:hAnsi="Arial" w:cs="Arial"/>
                <w:color w:val="000000"/>
                <w:sz w:val="20"/>
                <w:szCs w:val="20"/>
              </w:rPr>
              <w:t>1.3</w:t>
            </w:r>
            <w:proofErr w:type="gramEnd"/>
            <w:r w:rsidRPr="00C116D5">
              <w:rPr>
                <w:rFonts w:ascii="Arial" w:hAnsi="Arial" w:cs="Arial"/>
                <w:color w:val="000000"/>
                <w:sz w:val="20"/>
                <w:szCs w:val="20"/>
              </w:rPr>
              <w:t xml:space="preserve"> – -0.4)</w:t>
            </w:r>
          </w:p>
        </w:tc>
        <w:tc>
          <w:tcPr>
            <w:tcW w:w="1016" w:type="dxa"/>
            <w:vMerge w:val="restart"/>
            <w:vAlign w:val="center"/>
          </w:tcPr>
          <w:p w14:paraId="5BCFCCA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4DEC0C6C"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73A56392"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0.110</w:t>
            </w:r>
            <w:r w:rsidRPr="00C116D5">
              <w:rPr>
                <w:rFonts w:ascii="Arial" w:hAnsi="Arial" w:cs="Arial"/>
                <w:sz w:val="20"/>
                <w:szCs w:val="20"/>
                <w:vertAlign w:val="superscript"/>
                <w:lang w:val="en-US"/>
              </w:rPr>
              <w:t>c</w:t>
            </w:r>
          </w:p>
          <w:p w14:paraId="2AE9DE2A"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03EE1709" w14:textId="77777777" w:rsidTr="00023145">
        <w:trPr>
          <w:trHeight w:val="253"/>
        </w:trPr>
        <w:tc>
          <w:tcPr>
            <w:tcW w:w="2093" w:type="dxa"/>
            <w:vMerge/>
            <w:vAlign w:val="center"/>
          </w:tcPr>
          <w:p w14:paraId="401788A8" w14:textId="77777777" w:rsidR="008B5297" w:rsidRPr="00C116D5" w:rsidRDefault="008B5297" w:rsidP="00023145">
            <w:pPr>
              <w:rPr>
                <w:rFonts w:ascii="Arial" w:hAnsi="Arial" w:cs="Arial"/>
                <w:b/>
                <w:sz w:val="20"/>
                <w:szCs w:val="20"/>
                <w:lang w:val="en-US"/>
              </w:rPr>
            </w:pPr>
          </w:p>
        </w:tc>
        <w:tc>
          <w:tcPr>
            <w:tcW w:w="1346" w:type="dxa"/>
            <w:vMerge/>
            <w:vAlign w:val="center"/>
          </w:tcPr>
          <w:p w14:paraId="61E2789C" w14:textId="77777777" w:rsidR="008B5297" w:rsidRPr="00C116D5" w:rsidRDefault="008B5297" w:rsidP="00023145">
            <w:pPr>
              <w:rPr>
                <w:rFonts w:ascii="Arial" w:hAnsi="Arial" w:cs="Arial"/>
                <w:sz w:val="20"/>
                <w:szCs w:val="20"/>
                <w:lang w:val="en-US"/>
              </w:rPr>
            </w:pPr>
          </w:p>
        </w:tc>
        <w:tc>
          <w:tcPr>
            <w:tcW w:w="1748" w:type="dxa"/>
            <w:vMerge/>
            <w:vAlign w:val="center"/>
          </w:tcPr>
          <w:p w14:paraId="4839E1DF"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6F9B02BF"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28C55851" w14:textId="77777777" w:rsidR="008B5297" w:rsidRPr="00C116D5" w:rsidRDefault="008B5297" w:rsidP="00023145">
            <w:pPr>
              <w:jc w:val="center"/>
              <w:rPr>
                <w:rFonts w:ascii="Arial" w:hAnsi="Arial" w:cs="Arial"/>
                <w:color w:val="000000"/>
                <w:sz w:val="20"/>
                <w:szCs w:val="20"/>
              </w:rPr>
            </w:pPr>
          </w:p>
        </w:tc>
        <w:tc>
          <w:tcPr>
            <w:tcW w:w="1016" w:type="dxa"/>
            <w:vMerge/>
            <w:vAlign w:val="center"/>
          </w:tcPr>
          <w:p w14:paraId="35D9E9E0" w14:textId="77777777" w:rsidR="008B5297" w:rsidRPr="00C116D5" w:rsidRDefault="008B5297" w:rsidP="00023145">
            <w:pPr>
              <w:jc w:val="center"/>
              <w:rPr>
                <w:rFonts w:ascii="Arial" w:hAnsi="Arial" w:cs="Arial"/>
                <w:sz w:val="20"/>
                <w:szCs w:val="20"/>
                <w:lang w:val="en-US"/>
              </w:rPr>
            </w:pPr>
          </w:p>
        </w:tc>
      </w:tr>
      <w:tr w:rsidR="008B5297" w:rsidRPr="00C116D5" w14:paraId="3C8AF2EC" w14:textId="77777777" w:rsidTr="00023145">
        <w:tc>
          <w:tcPr>
            <w:tcW w:w="2093" w:type="dxa"/>
            <w:vMerge/>
            <w:vAlign w:val="center"/>
          </w:tcPr>
          <w:p w14:paraId="5FF673E2" w14:textId="77777777" w:rsidR="008B5297" w:rsidRPr="00C116D5" w:rsidRDefault="008B5297" w:rsidP="00023145">
            <w:pPr>
              <w:rPr>
                <w:rFonts w:ascii="Arial" w:hAnsi="Arial" w:cs="Arial"/>
                <w:b/>
                <w:sz w:val="20"/>
                <w:szCs w:val="20"/>
                <w:lang w:val="en-US"/>
              </w:rPr>
            </w:pPr>
          </w:p>
        </w:tc>
        <w:tc>
          <w:tcPr>
            <w:tcW w:w="1346" w:type="dxa"/>
            <w:vAlign w:val="center"/>
          </w:tcPr>
          <w:p w14:paraId="0CC8871C"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748" w:type="dxa"/>
            <w:vAlign w:val="center"/>
          </w:tcPr>
          <w:p w14:paraId="03F4072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0.186</w:t>
            </w:r>
          </w:p>
        </w:tc>
        <w:tc>
          <w:tcPr>
            <w:tcW w:w="1843" w:type="dxa"/>
            <w:vAlign w:val="center"/>
          </w:tcPr>
          <w:p w14:paraId="43C23B2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0.838</w:t>
            </w:r>
          </w:p>
        </w:tc>
        <w:tc>
          <w:tcPr>
            <w:tcW w:w="1843" w:type="dxa"/>
            <w:vAlign w:val="center"/>
          </w:tcPr>
          <w:p w14:paraId="0D65246A"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0.408</w:t>
            </w:r>
          </w:p>
        </w:tc>
        <w:tc>
          <w:tcPr>
            <w:tcW w:w="1016" w:type="dxa"/>
            <w:vAlign w:val="center"/>
          </w:tcPr>
          <w:p w14:paraId="7C329BAB" w14:textId="77777777" w:rsidR="008B5297" w:rsidRPr="00C116D5" w:rsidRDefault="008B5297" w:rsidP="00023145">
            <w:pPr>
              <w:jc w:val="center"/>
              <w:rPr>
                <w:rFonts w:ascii="Arial" w:hAnsi="Arial" w:cs="Arial"/>
                <w:sz w:val="20"/>
                <w:szCs w:val="20"/>
                <w:lang w:val="en-US"/>
              </w:rPr>
            </w:pPr>
          </w:p>
        </w:tc>
      </w:tr>
      <w:tr w:rsidR="008B5297" w:rsidRPr="00C116D5" w14:paraId="33B598AE" w14:textId="77777777" w:rsidTr="00023145">
        <w:tc>
          <w:tcPr>
            <w:tcW w:w="2093" w:type="dxa"/>
            <w:shd w:val="clear" w:color="auto" w:fill="A6A6A6" w:themeFill="background1" w:themeFillShade="A6"/>
            <w:vAlign w:val="center"/>
          </w:tcPr>
          <w:p w14:paraId="39960EB1" w14:textId="77777777" w:rsidR="008B5297" w:rsidRPr="00C116D5" w:rsidRDefault="008B5297" w:rsidP="00023145">
            <w:pPr>
              <w:rPr>
                <w:rFonts w:ascii="Arial" w:hAnsi="Arial" w:cs="Arial"/>
                <w:b/>
                <w:sz w:val="20"/>
                <w:szCs w:val="20"/>
                <w:lang w:val="en-US"/>
              </w:rPr>
            </w:pPr>
          </w:p>
        </w:tc>
        <w:tc>
          <w:tcPr>
            <w:tcW w:w="1346" w:type="dxa"/>
            <w:shd w:val="clear" w:color="auto" w:fill="A6A6A6" w:themeFill="background1" w:themeFillShade="A6"/>
            <w:vAlign w:val="center"/>
          </w:tcPr>
          <w:p w14:paraId="4CBE76AA" w14:textId="77777777" w:rsidR="008B5297" w:rsidRPr="00C116D5" w:rsidRDefault="008B5297" w:rsidP="00023145">
            <w:pPr>
              <w:rPr>
                <w:rFonts w:ascii="Arial" w:hAnsi="Arial" w:cs="Arial"/>
                <w:sz w:val="20"/>
                <w:szCs w:val="20"/>
                <w:lang w:val="en-US"/>
              </w:rPr>
            </w:pPr>
          </w:p>
        </w:tc>
        <w:tc>
          <w:tcPr>
            <w:tcW w:w="1748" w:type="dxa"/>
            <w:shd w:val="clear" w:color="auto" w:fill="A6A6A6" w:themeFill="background1" w:themeFillShade="A6"/>
            <w:vAlign w:val="center"/>
          </w:tcPr>
          <w:p w14:paraId="41DB33D8" w14:textId="77777777" w:rsidR="008B5297" w:rsidRPr="00C116D5" w:rsidRDefault="008B5297" w:rsidP="00023145">
            <w:pPr>
              <w:jc w:val="center"/>
              <w:rPr>
                <w:rFonts w:ascii="Arial" w:hAnsi="Arial" w:cs="Arial"/>
                <w:sz w:val="20"/>
                <w:szCs w:val="20"/>
                <w:lang w:val="en-US"/>
              </w:rPr>
            </w:pPr>
          </w:p>
        </w:tc>
        <w:tc>
          <w:tcPr>
            <w:tcW w:w="1843" w:type="dxa"/>
            <w:shd w:val="clear" w:color="auto" w:fill="A6A6A6" w:themeFill="background1" w:themeFillShade="A6"/>
            <w:vAlign w:val="center"/>
          </w:tcPr>
          <w:p w14:paraId="1160C861" w14:textId="77777777" w:rsidR="008B5297" w:rsidRPr="00C116D5" w:rsidRDefault="008B5297" w:rsidP="00023145">
            <w:pPr>
              <w:jc w:val="center"/>
              <w:rPr>
                <w:rFonts w:ascii="Arial" w:hAnsi="Arial" w:cs="Arial"/>
                <w:sz w:val="20"/>
                <w:szCs w:val="20"/>
                <w:lang w:val="en-US"/>
              </w:rPr>
            </w:pPr>
          </w:p>
        </w:tc>
        <w:tc>
          <w:tcPr>
            <w:tcW w:w="1843" w:type="dxa"/>
            <w:shd w:val="clear" w:color="auto" w:fill="A6A6A6" w:themeFill="background1" w:themeFillShade="A6"/>
            <w:vAlign w:val="center"/>
          </w:tcPr>
          <w:p w14:paraId="48F3DBB9" w14:textId="77777777" w:rsidR="008B5297" w:rsidRPr="00C116D5" w:rsidRDefault="008B5297" w:rsidP="00023145">
            <w:pPr>
              <w:jc w:val="center"/>
              <w:rPr>
                <w:rFonts w:ascii="Arial" w:hAnsi="Arial" w:cs="Arial"/>
                <w:sz w:val="20"/>
                <w:szCs w:val="20"/>
                <w:lang w:val="en-US"/>
              </w:rPr>
            </w:pPr>
          </w:p>
        </w:tc>
        <w:tc>
          <w:tcPr>
            <w:tcW w:w="1016" w:type="dxa"/>
            <w:shd w:val="clear" w:color="auto" w:fill="A6A6A6" w:themeFill="background1" w:themeFillShade="A6"/>
            <w:vAlign w:val="center"/>
          </w:tcPr>
          <w:p w14:paraId="4E4121AC" w14:textId="77777777" w:rsidR="008B5297" w:rsidRPr="00C116D5" w:rsidRDefault="008B5297" w:rsidP="00023145">
            <w:pPr>
              <w:jc w:val="center"/>
              <w:rPr>
                <w:rFonts w:ascii="Arial" w:hAnsi="Arial" w:cs="Arial"/>
                <w:sz w:val="20"/>
                <w:szCs w:val="20"/>
                <w:lang w:val="en-US"/>
              </w:rPr>
            </w:pPr>
          </w:p>
        </w:tc>
      </w:tr>
      <w:tr w:rsidR="008B5297" w:rsidRPr="00C116D5" w14:paraId="0680DBCA" w14:textId="77777777" w:rsidTr="00023145">
        <w:tc>
          <w:tcPr>
            <w:tcW w:w="2093" w:type="dxa"/>
            <w:vMerge w:val="restart"/>
            <w:vAlign w:val="center"/>
          </w:tcPr>
          <w:p w14:paraId="58AF12D7" w14:textId="77777777" w:rsidR="008B5297" w:rsidRPr="00C116D5" w:rsidRDefault="008B5297" w:rsidP="00023145">
            <w:pPr>
              <w:rPr>
                <w:rFonts w:ascii="Arial" w:hAnsi="Arial" w:cs="Arial"/>
                <w:b/>
                <w:sz w:val="20"/>
                <w:szCs w:val="20"/>
                <w:lang w:val="en-US"/>
              </w:rPr>
            </w:pPr>
            <w:r w:rsidRPr="00C116D5">
              <w:rPr>
                <w:rFonts w:ascii="Arial" w:hAnsi="Arial" w:cs="Arial"/>
                <w:b/>
                <w:sz w:val="20"/>
                <w:szCs w:val="20"/>
                <w:lang w:val="en-US"/>
              </w:rPr>
              <w:t>PSD</w:t>
            </w:r>
          </w:p>
        </w:tc>
        <w:tc>
          <w:tcPr>
            <w:tcW w:w="1346" w:type="dxa"/>
            <w:vAlign w:val="center"/>
          </w:tcPr>
          <w:p w14:paraId="4F72B4D2"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LL</w:t>
            </w:r>
          </w:p>
        </w:tc>
        <w:tc>
          <w:tcPr>
            <w:tcW w:w="1748" w:type="dxa"/>
            <w:vAlign w:val="center"/>
          </w:tcPr>
          <w:p w14:paraId="7E8FB9A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4.8 ± </w:t>
            </w:r>
            <w:proofErr w:type="gramStart"/>
            <w:r w:rsidRPr="00C116D5">
              <w:rPr>
                <w:rFonts w:ascii="Arial" w:hAnsi="Arial" w:cs="Arial"/>
                <w:color w:val="000000"/>
                <w:sz w:val="20"/>
                <w:szCs w:val="20"/>
              </w:rPr>
              <w:t>3.1</w:t>
            </w:r>
            <w:proofErr w:type="gramEnd"/>
          </w:p>
          <w:p w14:paraId="6AD1FB94"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3.7 (</w:t>
            </w:r>
            <w:proofErr w:type="gramStart"/>
            <w:r w:rsidRPr="00C116D5">
              <w:rPr>
                <w:rFonts w:ascii="Arial" w:hAnsi="Arial" w:cs="Arial"/>
                <w:color w:val="000000"/>
                <w:sz w:val="20"/>
                <w:szCs w:val="20"/>
              </w:rPr>
              <w:t>2.8</w:t>
            </w:r>
            <w:proofErr w:type="gramEnd"/>
            <w:r w:rsidRPr="00C116D5">
              <w:rPr>
                <w:rFonts w:ascii="Arial" w:hAnsi="Arial" w:cs="Arial"/>
                <w:color w:val="000000"/>
                <w:sz w:val="20"/>
                <w:szCs w:val="20"/>
              </w:rPr>
              <w:t xml:space="preserve"> – 6.2)</w:t>
            </w:r>
          </w:p>
        </w:tc>
        <w:tc>
          <w:tcPr>
            <w:tcW w:w="1843" w:type="dxa"/>
            <w:vAlign w:val="center"/>
          </w:tcPr>
          <w:p w14:paraId="14AD5AB9" w14:textId="77777777" w:rsidR="008B5297" w:rsidRPr="00C116D5" w:rsidRDefault="008B5297" w:rsidP="00023145">
            <w:pPr>
              <w:tabs>
                <w:tab w:val="left" w:pos="323"/>
                <w:tab w:val="center" w:pos="559"/>
              </w:tabs>
              <w:jc w:val="center"/>
              <w:rPr>
                <w:rFonts w:ascii="Arial" w:hAnsi="Arial" w:cs="Arial"/>
                <w:sz w:val="20"/>
                <w:szCs w:val="20"/>
                <w:lang w:val="en-US"/>
              </w:rPr>
            </w:pPr>
            <w:r w:rsidRPr="00C116D5">
              <w:rPr>
                <w:rFonts w:ascii="Arial" w:hAnsi="Arial" w:cs="Arial"/>
                <w:color w:val="000000"/>
                <w:sz w:val="20"/>
                <w:szCs w:val="20"/>
              </w:rPr>
              <w:t xml:space="preserve">1.5 ± </w:t>
            </w:r>
            <w:proofErr w:type="gramStart"/>
            <w:r w:rsidRPr="00C116D5">
              <w:rPr>
                <w:rFonts w:ascii="Arial" w:hAnsi="Arial" w:cs="Arial"/>
                <w:color w:val="000000"/>
                <w:sz w:val="20"/>
                <w:szCs w:val="20"/>
              </w:rPr>
              <w:t>0.2</w:t>
            </w:r>
            <w:proofErr w:type="gramEnd"/>
          </w:p>
          <w:p w14:paraId="597E2BB8" w14:textId="77777777" w:rsidR="008B5297" w:rsidRPr="00C116D5" w:rsidRDefault="008B5297" w:rsidP="00023145">
            <w:pPr>
              <w:tabs>
                <w:tab w:val="left" w:pos="323"/>
                <w:tab w:val="center" w:pos="559"/>
              </w:tabs>
              <w:jc w:val="center"/>
              <w:rPr>
                <w:rFonts w:ascii="Arial" w:hAnsi="Arial" w:cs="Arial"/>
                <w:sz w:val="20"/>
                <w:szCs w:val="20"/>
                <w:lang w:val="en-US"/>
              </w:rPr>
            </w:pPr>
            <w:r w:rsidRPr="00C116D5">
              <w:rPr>
                <w:rFonts w:ascii="Arial" w:hAnsi="Arial" w:cs="Arial"/>
                <w:color w:val="000000"/>
                <w:sz w:val="20"/>
                <w:szCs w:val="20"/>
              </w:rPr>
              <w:t>1.4 (</w:t>
            </w:r>
            <w:proofErr w:type="gramStart"/>
            <w:r w:rsidRPr="00C116D5">
              <w:rPr>
                <w:rFonts w:ascii="Arial" w:hAnsi="Arial" w:cs="Arial"/>
                <w:color w:val="000000"/>
                <w:sz w:val="20"/>
                <w:szCs w:val="20"/>
              </w:rPr>
              <w:t>1.3</w:t>
            </w:r>
            <w:proofErr w:type="gramEnd"/>
            <w:r w:rsidRPr="00C116D5">
              <w:rPr>
                <w:rFonts w:ascii="Arial" w:hAnsi="Arial" w:cs="Arial"/>
                <w:color w:val="000000"/>
                <w:sz w:val="20"/>
                <w:szCs w:val="20"/>
              </w:rPr>
              <w:t xml:space="preserve"> – 1.6)</w:t>
            </w:r>
          </w:p>
        </w:tc>
        <w:tc>
          <w:tcPr>
            <w:tcW w:w="1843" w:type="dxa"/>
            <w:vAlign w:val="center"/>
          </w:tcPr>
          <w:p w14:paraId="58601AB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1.5 ± </w:t>
            </w:r>
            <w:proofErr w:type="gramStart"/>
            <w:r w:rsidRPr="00C116D5">
              <w:rPr>
                <w:rFonts w:ascii="Arial" w:hAnsi="Arial" w:cs="Arial"/>
                <w:color w:val="000000"/>
                <w:sz w:val="20"/>
                <w:szCs w:val="20"/>
              </w:rPr>
              <w:t>0.2</w:t>
            </w:r>
            <w:proofErr w:type="gramEnd"/>
          </w:p>
          <w:p w14:paraId="79EED040"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1.5 (</w:t>
            </w:r>
            <w:proofErr w:type="gramStart"/>
            <w:r w:rsidRPr="00C116D5">
              <w:rPr>
                <w:rFonts w:ascii="Arial" w:hAnsi="Arial" w:cs="Arial"/>
                <w:color w:val="000000"/>
                <w:sz w:val="20"/>
                <w:szCs w:val="20"/>
              </w:rPr>
              <w:t>1.3</w:t>
            </w:r>
            <w:proofErr w:type="gramEnd"/>
            <w:r w:rsidRPr="00C116D5">
              <w:rPr>
                <w:rFonts w:ascii="Arial" w:hAnsi="Arial" w:cs="Arial"/>
                <w:color w:val="000000"/>
                <w:sz w:val="20"/>
                <w:szCs w:val="20"/>
              </w:rPr>
              <w:t xml:space="preserve"> – 1.7)</w:t>
            </w:r>
          </w:p>
        </w:tc>
        <w:tc>
          <w:tcPr>
            <w:tcW w:w="1016" w:type="dxa"/>
            <w:vAlign w:val="center"/>
          </w:tcPr>
          <w:p w14:paraId="59B8104C"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055626E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55201A7A"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0.172</w:t>
            </w:r>
            <w:r w:rsidRPr="00C116D5">
              <w:rPr>
                <w:rFonts w:ascii="Arial" w:hAnsi="Arial" w:cs="Arial"/>
                <w:sz w:val="20"/>
                <w:szCs w:val="20"/>
                <w:vertAlign w:val="superscript"/>
                <w:lang w:val="en-US"/>
              </w:rPr>
              <w:t>c</w:t>
            </w:r>
          </w:p>
          <w:p w14:paraId="4BA4A5F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2C0AE16C" w14:textId="77777777" w:rsidTr="00023145">
        <w:trPr>
          <w:trHeight w:val="253"/>
        </w:trPr>
        <w:tc>
          <w:tcPr>
            <w:tcW w:w="2093" w:type="dxa"/>
            <w:vMerge/>
          </w:tcPr>
          <w:p w14:paraId="187C980C" w14:textId="77777777" w:rsidR="008B5297" w:rsidRPr="00C116D5" w:rsidRDefault="008B5297" w:rsidP="00023145">
            <w:pPr>
              <w:rPr>
                <w:rFonts w:ascii="Arial" w:hAnsi="Arial" w:cs="Arial"/>
                <w:sz w:val="20"/>
                <w:szCs w:val="20"/>
                <w:lang w:val="en-US"/>
              </w:rPr>
            </w:pPr>
          </w:p>
        </w:tc>
        <w:tc>
          <w:tcPr>
            <w:tcW w:w="1346" w:type="dxa"/>
            <w:vMerge w:val="restart"/>
            <w:vAlign w:val="center"/>
          </w:tcPr>
          <w:p w14:paraId="7EE1B8A8" w14:textId="77777777" w:rsidR="008B5297" w:rsidRPr="00C116D5" w:rsidRDefault="008B5297" w:rsidP="00023145">
            <w:pPr>
              <w:rPr>
                <w:rFonts w:ascii="Arial" w:hAnsi="Arial" w:cs="Arial"/>
                <w:sz w:val="20"/>
                <w:szCs w:val="20"/>
                <w:lang w:val="en-US"/>
              </w:rPr>
            </w:pPr>
            <w:r w:rsidRPr="003654C8">
              <w:rPr>
                <w:rFonts w:ascii="Arial" w:hAnsi="Arial" w:cs="Arial"/>
                <w:i/>
                <w:sz w:val="20"/>
                <w:szCs w:val="20"/>
                <w:lang w:val="en-US"/>
              </w:rPr>
              <w:t>LM</w:t>
            </w:r>
            <w:r w:rsidRPr="00C116D5">
              <w:rPr>
                <w:rFonts w:ascii="Arial" w:hAnsi="Arial" w:cs="Arial"/>
                <w:sz w:val="20"/>
                <w:szCs w:val="20"/>
                <w:lang w:val="en-US"/>
              </w:rPr>
              <w:t xml:space="preserve"> + </w:t>
            </w:r>
            <w:r w:rsidRPr="003654C8">
              <w:rPr>
                <w:rFonts w:ascii="Arial" w:hAnsi="Arial" w:cs="Arial"/>
                <w:i/>
                <w:sz w:val="20"/>
                <w:szCs w:val="20"/>
                <w:lang w:val="en-US"/>
              </w:rPr>
              <w:t>MM</w:t>
            </w:r>
          </w:p>
        </w:tc>
        <w:tc>
          <w:tcPr>
            <w:tcW w:w="1748" w:type="dxa"/>
            <w:vMerge w:val="restart"/>
            <w:vAlign w:val="center"/>
          </w:tcPr>
          <w:p w14:paraId="3475FCFE"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5.0 ± </w:t>
            </w:r>
            <w:proofErr w:type="gramStart"/>
            <w:r w:rsidRPr="00C116D5">
              <w:rPr>
                <w:rFonts w:ascii="Arial" w:hAnsi="Arial" w:cs="Arial"/>
                <w:color w:val="000000"/>
                <w:sz w:val="20"/>
                <w:szCs w:val="20"/>
              </w:rPr>
              <w:t>3.0</w:t>
            </w:r>
            <w:proofErr w:type="gramEnd"/>
          </w:p>
          <w:p w14:paraId="2D776EC5"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4.4 (</w:t>
            </w:r>
            <w:proofErr w:type="gramStart"/>
            <w:r w:rsidRPr="00C116D5">
              <w:rPr>
                <w:rFonts w:ascii="Arial" w:hAnsi="Arial" w:cs="Arial"/>
                <w:color w:val="000000"/>
                <w:sz w:val="20"/>
                <w:szCs w:val="20"/>
              </w:rPr>
              <w:t>2.7</w:t>
            </w:r>
            <w:proofErr w:type="gramEnd"/>
            <w:r w:rsidRPr="00C116D5">
              <w:rPr>
                <w:rFonts w:ascii="Arial" w:hAnsi="Arial" w:cs="Arial"/>
                <w:color w:val="000000"/>
                <w:sz w:val="20"/>
                <w:szCs w:val="20"/>
              </w:rPr>
              <w:t xml:space="preserve"> –6.4)</w:t>
            </w:r>
          </w:p>
        </w:tc>
        <w:tc>
          <w:tcPr>
            <w:tcW w:w="1843" w:type="dxa"/>
            <w:vMerge w:val="restart"/>
            <w:vAlign w:val="center"/>
          </w:tcPr>
          <w:p w14:paraId="59E154E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1.4 ± </w:t>
            </w:r>
            <w:proofErr w:type="gramStart"/>
            <w:r w:rsidRPr="00C116D5">
              <w:rPr>
                <w:rFonts w:ascii="Arial" w:hAnsi="Arial" w:cs="Arial"/>
                <w:color w:val="000000"/>
                <w:sz w:val="20"/>
                <w:szCs w:val="20"/>
              </w:rPr>
              <w:t>0.2</w:t>
            </w:r>
            <w:proofErr w:type="gramEnd"/>
          </w:p>
          <w:p w14:paraId="3482295C"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1.4 (</w:t>
            </w:r>
            <w:proofErr w:type="gramStart"/>
            <w:r w:rsidRPr="00C116D5">
              <w:rPr>
                <w:rFonts w:ascii="Arial" w:hAnsi="Arial" w:cs="Arial"/>
                <w:color w:val="000000"/>
                <w:sz w:val="20"/>
                <w:szCs w:val="20"/>
              </w:rPr>
              <w:t>1.2</w:t>
            </w:r>
            <w:proofErr w:type="gramEnd"/>
            <w:r w:rsidRPr="00C116D5">
              <w:rPr>
                <w:rFonts w:ascii="Arial" w:hAnsi="Arial" w:cs="Arial"/>
                <w:color w:val="000000"/>
                <w:sz w:val="20"/>
                <w:szCs w:val="20"/>
              </w:rPr>
              <w:t xml:space="preserve"> – 1.6)</w:t>
            </w:r>
          </w:p>
        </w:tc>
        <w:tc>
          <w:tcPr>
            <w:tcW w:w="1843" w:type="dxa"/>
            <w:vMerge w:val="restart"/>
            <w:vAlign w:val="center"/>
          </w:tcPr>
          <w:p w14:paraId="00797E4D"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 xml:space="preserve">1.4 ± </w:t>
            </w:r>
            <w:proofErr w:type="gramStart"/>
            <w:r w:rsidRPr="00C116D5">
              <w:rPr>
                <w:rFonts w:ascii="Arial" w:hAnsi="Arial" w:cs="Arial"/>
                <w:color w:val="000000"/>
                <w:sz w:val="20"/>
                <w:szCs w:val="20"/>
              </w:rPr>
              <w:t>0.3</w:t>
            </w:r>
            <w:proofErr w:type="gramEnd"/>
          </w:p>
          <w:p w14:paraId="4FEEF53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1.4 (</w:t>
            </w:r>
            <w:proofErr w:type="gramStart"/>
            <w:r w:rsidRPr="00C116D5">
              <w:rPr>
                <w:rFonts w:ascii="Arial" w:hAnsi="Arial" w:cs="Arial"/>
                <w:color w:val="000000"/>
                <w:sz w:val="20"/>
                <w:szCs w:val="20"/>
              </w:rPr>
              <w:t>1.2</w:t>
            </w:r>
            <w:proofErr w:type="gramEnd"/>
            <w:r w:rsidRPr="00C116D5">
              <w:rPr>
                <w:rFonts w:ascii="Arial" w:hAnsi="Arial" w:cs="Arial"/>
                <w:color w:val="000000"/>
                <w:sz w:val="20"/>
                <w:szCs w:val="20"/>
              </w:rPr>
              <w:t xml:space="preserve"> –1.7)</w:t>
            </w:r>
          </w:p>
        </w:tc>
        <w:tc>
          <w:tcPr>
            <w:tcW w:w="1016" w:type="dxa"/>
            <w:vMerge w:val="restart"/>
            <w:vAlign w:val="center"/>
          </w:tcPr>
          <w:p w14:paraId="1D41FD06"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a</w:t>
            </w:r>
          </w:p>
          <w:p w14:paraId="07949D69"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b</w:t>
            </w:r>
          </w:p>
          <w:p w14:paraId="6B676A88"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0.586</w:t>
            </w:r>
            <w:r w:rsidRPr="00C116D5">
              <w:rPr>
                <w:rFonts w:ascii="Arial" w:hAnsi="Arial" w:cs="Arial"/>
                <w:sz w:val="20"/>
                <w:szCs w:val="20"/>
                <w:vertAlign w:val="superscript"/>
                <w:lang w:val="en-US"/>
              </w:rPr>
              <w:t>c</w:t>
            </w:r>
          </w:p>
          <w:p w14:paraId="796ED5BE" w14:textId="77777777" w:rsidR="008B5297" w:rsidRPr="00C116D5" w:rsidRDefault="008B5297" w:rsidP="00023145">
            <w:pPr>
              <w:jc w:val="center"/>
              <w:rPr>
                <w:rFonts w:ascii="Arial" w:hAnsi="Arial" w:cs="Arial"/>
                <w:sz w:val="20"/>
                <w:szCs w:val="20"/>
                <w:lang w:val="en-US"/>
              </w:rPr>
            </w:pPr>
            <w:r w:rsidRPr="00C116D5">
              <w:rPr>
                <w:rFonts w:ascii="Arial" w:hAnsi="Arial" w:cs="Arial"/>
                <w:sz w:val="20"/>
                <w:szCs w:val="20"/>
                <w:lang w:val="en-US"/>
              </w:rPr>
              <w:t>0.000</w:t>
            </w:r>
            <w:r w:rsidRPr="00C116D5">
              <w:rPr>
                <w:rFonts w:ascii="Arial" w:hAnsi="Arial" w:cs="Arial"/>
                <w:sz w:val="20"/>
                <w:szCs w:val="20"/>
                <w:vertAlign w:val="superscript"/>
                <w:lang w:val="en-US"/>
              </w:rPr>
              <w:t>d</w:t>
            </w:r>
          </w:p>
        </w:tc>
      </w:tr>
      <w:tr w:rsidR="008B5297" w:rsidRPr="00C116D5" w14:paraId="582192EF" w14:textId="77777777" w:rsidTr="00023145">
        <w:trPr>
          <w:trHeight w:val="253"/>
        </w:trPr>
        <w:tc>
          <w:tcPr>
            <w:tcW w:w="2093" w:type="dxa"/>
            <w:vMerge/>
          </w:tcPr>
          <w:p w14:paraId="3876A867" w14:textId="77777777" w:rsidR="008B5297" w:rsidRPr="00C116D5" w:rsidRDefault="008B5297" w:rsidP="00023145">
            <w:pPr>
              <w:rPr>
                <w:rFonts w:ascii="Arial" w:hAnsi="Arial" w:cs="Arial"/>
                <w:sz w:val="20"/>
                <w:szCs w:val="20"/>
                <w:lang w:val="en-US"/>
              </w:rPr>
            </w:pPr>
          </w:p>
        </w:tc>
        <w:tc>
          <w:tcPr>
            <w:tcW w:w="1346" w:type="dxa"/>
            <w:vMerge/>
            <w:vAlign w:val="center"/>
          </w:tcPr>
          <w:p w14:paraId="3B274BCA" w14:textId="77777777" w:rsidR="008B5297" w:rsidRPr="00C116D5" w:rsidRDefault="008B5297" w:rsidP="00023145">
            <w:pPr>
              <w:rPr>
                <w:rFonts w:ascii="Arial" w:hAnsi="Arial" w:cs="Arial"/>
                <w:sz w:val="20"/>
                <w:szCs w:val="20"/>
                <w:lang w:val="en-US"/>
              </w:rPr>
            </w:pPr>
          </w:p>
        </w:tc>
        <w:tc>
          <w:tcPr>
            <w:tcW w:w="1748" w:type="dxa"/>
            <w:vMerge/>
            <w:vAlign w:val="center"/>
          </w:tcPr>
          <w:p w14:paraId="6D934C16"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46DAE1AD" w14:textId="77777777" w:rsidR="008B5297" w:rsidRPr="00C116D5" w:rsidRDefault="008B5297" w:rsidP="00023145">
            <w:pPr>
              <w:jc w:val="center"/>
              <w:rPr>
                <w:rFonts w:ascii="Arial" w:hAnsi="Arial" w:cs="Arial"/>
                <w:color w:val="000000"/>
                <w:sz w:val="20"/>
                <w:szCs w:val="20"/>
              </w:rPr>
            </w:pPr>
          </w:p>
        </w:tc>
        <w:tc>
          <w:tcPr>
            <w:tcW w:w="1843" w:type="dxa"/>
            <w:vMerge/>
            <w:vAlign w:val="center"/>
          </w:tcPr>
          <w:p w14:paraId="56108316" w14:textId="77777777" w:rsidR="008B5297" w:rsidRPr="00C116D5" w:rsidRDefault="008B5297" w:rsidP="00023145">
            <w:pPr>
              <w:jc w:val="center"/>
              <w:rPr>
                <w:rFonts w:ascii="Arial" w:hAnsi="Arial" w:cs="Arial"/>
                <w:color w:val="000000"/>
                <w:sz w:val="20"/>
                <w:szCs w:val="20"/>
              </w:rPr>
            </w:pPr>
          </w:p>
        </w:tc>
        <w:tc>
          <w:tcPr>
            <w:tcW w:w="1016" w:type="dxa"/>
            <w:vMerge/>
            <w:vAlign w:val="center"/>
          </w:tcPr>
          <w:p w14:paraId="5281C9A5" w14:textId="77777777" w:rsidR="008B5297" w:rsidRPr="00C116D5" w:rsidRDefault="008B5297" w:rsidP="00023145">
            <w:pPr>
              <w:jc w:val="center"/>
              <w:rPr>
                <w:rFonts w:ascii="Arial" w:hAnsi="Arial" w:cs="Arial"/>
                <w:sz w:val="20"/>
                <w:szCs w:val="20"/>
                <w:lang w:val="en-US"/>
              </w:rPr>
            </w:pPr>
          </w:p>
        </w:tc>
      </w:tr>
      <w:tr w:rsidR="008B5297" w:rsidRPr="00C116D5" w14:paraId="0010BDD0" w14:textId="77777777" w:rsidTr="00023145">
        <w:tc>
          <w:tcPr>
            <w:tcW w:w="2093" w:type="dxa"/>
            <w:vMerge/>
          </w:tcPr>
          <w:p w14:paraId="1B0ECC6B" w14:textId="77777777" w:rsidR="008B5297" w:rsidRPr="00C116D5" w:rsidRDefault="008B5297" w:rsidP="00023145">
            <w:pPr>
              <w:rPr>
                <w:rFonts w:ascii="Arial" w:hAnsi="Arial" w:cs="Arial"/>
                <w:sz w:val="20"/>
                <w:szCs w:val="20"/>
                <w:lang w:val="en-US"/>
              </w:rPr>
            </w:pPr>
          </w:p>
        </w:tc>
        <w:tc>
          <w:tcPr>
            <w:tcW w:w="1346" w:type="dxa"/>
            <w:vAlign w:val="center"/>
          </w:tcPr>
          <w:p w14:paraId="21C4E66F" w14:textId="77777777" w:rsidR="008B5297" w:rsidRPr="00C116D5" w:rsidRDefault="008B5297" w:rsidP="00023145">
            <w:pPr>
              <w:rPr>
                <w:rFonts w:ascii="Arial" w:hAnsi="Arial" w:cs="Arial"/>
                <w:sz w:val="20"/>
                <w:szCs w:val="20"/>
                <w:lang w:val="en-US"/>
              </w:rPr>
            </w:pPr>
            <w:r w:rsidRPr="00C116D5">
              <w:rPr>
                <w:rFonts w:ascii="Arial" w:hAnsi="Arial" w:cs="Arial"/>
                <w:sz w:val="20"/>
                <w:szCs w:val="20"/>
                <w:lang w:val="en-US"/>
              </w:rPr>
              <w:t>P*</w:t>
            </w:r>
          </w:p>
        </w:tc>
        <w:tc>
          <w:tcPr>
            <w:tcW w:w="1748" w:type="dxa"/>
            <w:vAlign w:val="center"/>
          </w:tcPr>
          <w:p w14:paraId="19C907B1"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0.561</w:t>
            </w:r>
          </w:p>
        </w:tc>
        <w:tc>
          <w:tcPr>
            <w:tcW w:w="1843" w:type="dxa"/>
            <w:vAlign w:val="center"/>
          </w:tcPr>
          <w:p w14:paraId="5038E332"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0.191</w:t>
            </w:r>
          </w:p>
        </w:tc>
        <w:tc>
          <w:tcPr>
            <w:tcW w:w="1843" w:type="dxa"/>
            <w:vAlign w:val="center"/>
          </w:tcPr>
          <w:p w14:paraId="3170E376" w14:textId="77777777" w:rsidR="008B5297" w:rsidRPr="00C116D5" w:rsidRDefault="008B5297" w:rsidP="00023145">
            <w:pPr>
              <w:jc w:val="center"/>
              <w:rPr>
                <w:rFonts w:ascii="Arial" w:hAnsi="Arial" w:cs="Arial"/>
                <w:sz w:val="20"/>
                <w:szCs w:val="20"/>
                <w:lang w:val="en-US"/>
              </w:rPr>
            </w:pPr>
            <w:r w:rsidRPr="00C116D5">
              <w:rPr>
                <w:rFonts w:ascii="Arial" w:hAnsi="Arial" w:cs="Arial"/>
                <w:color w:val="000000"/>
                <w:sz w:val="20"/>
                <w:szCs w:val="20"/>
              </w:rPr>
              <w:t>0.079</w:t>
            </w:r>
          </w:p>
        </w:tc>
        <w:tc>
          <w:tcPr>
            <w:tcW w:w="1016" w:type="dxa"/>
            <w:vAlign w:val="center"/>
          </w:tcPr>
          <w:p w14:paraId="52D2E7BA" w14:textId="77777777" w:rsidR="008B5297" w:rsidRPr="00C116D5" w:rsidRDefault="008B5297" w:rsidP="00023145">
            <w:pPr>
              <w:jc w:val="center"/>
              <w:rPr>
                <w:rFonts w:ascii="Arial" w:hAnsi="Arial" w:cs="Arial"/>
                <w:sz w:val="20"/>
                <w:szCs w:val="20"/>
                <w:lang w:val="en-US"/>
              </w:rPr>
            </w:pPr>
          </w:p>
        </w:tc>
      </w:tr>
    </w:tbl>
    <w:p w14:paraId="1D4E95FA" w14:textId="77777777" w:rsidR="008B5297" w:rsidRPr="00C116D5" w:rsidRDefault="008B5297" w:rsidP="008B5297">
      <w:pPr>
        <w:spacing w:after="0" w:line="240" w:lineRule="auto"/>
        <w:rPr>
          <w:rFonts w:ascii="Arial" w:hAnsi="Arial" w:cs="Arial"/>
          <w:sz w:val="20"/>
          <w:szCs w:val="20"/>
          <w:lang w:val="en-US"/>
        </w:rPr>
      </w:pPr>
      <w:proofErr w:type="gramStart"/>
      <w:r w:rsidRPr="00C116D5">
        <w:rPr>
          <w:rFonts w:ascii="Arial" w:hAnsi="Arial" w:cs="Arial"/>
          <w:sz w:val="20"/>
          <w:szCs w:val="20"/>
          <w:lang w:val="en-US"/>
        </w:rPr>
        <w:t xml:space="preserve">Data given as mean </w:t>
      </w:r>
      <w:r w:rsidRPr="00C116D5">
        <w:rPr>
          <w:rFonts w:ascii="Arial" w:hAnsi="Arial" w:cs="Arial"/>
          <w:color w:val="000000"/>
          <w:sz w:val="20"/>
          <w:szCs w:val="20"/>
          <w:lang w:val="en-US"/>
        </w:rPr>
        <w:t>± SD in the first row and as median and quartiles (first quartile-third quartile) in the second row.</w:t>
      </w:r>
      <w:proofErr w:type="gramEnd"/>
      <w:r w:rsidRPr="00C116D5">
        <w:rPr>
          <w:rFonts w:ascii="Arial" w:hAnsi="Arial" w:cs="Arial"/>
          <w:color w:val="000000"/>
          <w:sz w:val="20"/>
          <w:szCs w:val="20"/>
          <w:lang w:val="en-US"/>
        </w:rPr>
        <w:t xml:space="preserve"> </w:t>
      </w:r>
    </w:p>
    <w:p w14:paraId="6ADC6140" w14:textId="77777777" w:rsidR="008B5297" w:rsidRPr="00C116D5" w:rsidRDefault="008B5297" w:rsidP="008B5297">
      <w:pPr>
        <w:spacing w:after="0" w:line="240" w:lineRule="auto"/>
        <w:rPr>
          <w:rFonts w:ascii="Arial" w:eastAsia="Calibri" w:hAnsi="Arial" w:cs="Arial"/>
          <w:sz w:val="20"/>
          <w:szCs w:val="20"/>
          <w:lang w:val="en-US"/>
        </w:rPr>
      </w:pPr>
      <w:proofErr w:type="gramStart"/>
      <w:r w:rsidRPr="00C116D5">
        <w:rPr>
          <w:rFonts w:ascii="Arial" w:hAnsi="Arial" w:cs="Arial"/>
          <w:sz w:val="20"/>
          <w:szCs w:val="20"/>
          <w:vertAlign w:val="superscript"/>
          <w:lang w:val="en-US"/>
        </w:rPr>
        <w:t>a</w:t>
      </w:r>
      <w:proofErr w:type="gramEnd"/>
      <w:r w:rsidRPr="00C116D5">
        <w:rPr>
          <w:rFonts w:ascii="Arial" w:hAnsi="Arial" w:cs="Arial"/>
          <w:sz w:val="20"/>
          <w:szCs w:val="20"/>
          <w:vertAlign w:val="superscript"/>
          <w:lang w:val="en-US"/>
        </w:rPr>
        <w:t xml:space="preserve"> </w:t>
      </w:r>
      <w:r w:rsidRPr="00C116D5">
        <w:rPr>
          <w:rFonts w:ascii="Arial" w:hAnsi="Arial" w:cs="Arial"/>
          <w:sz w:val="20"/>
          <w:szCs w:val="20"/>
          <w:lang w:val="en-US"/>
        </w:rPr>
        <w:t xml:space="preserve">Comparison of three groups (PEG vs. PEX vs. Control) by </w:t>
      </w:r>
      <w:proofErr w:type="spellStart"/>
      <w:r w:rsidRPr="00C116D5">
        <w:rPr>
          <w:rFonts w:ascii="Arial" w:hAnsi="Arial" w:cs="Arial"/>
          <w:sz w:val="20"/>
          <w:szCs w:val="20"/>
          <w:lang w:val="en-US"/>
        </w:rPr>
        <w:t>Kruskal</w:t>
      </w:r>
      <w:proofErr w:type="spellEnd"/>
      <w:r w:rsidRPr="00C116D5">
        <w:rPr>
          <w:rFonts w:ascii="Arial" w:hAnsi="Arial" w:cs="Arial"/>
          <w:sz w:val="20"/>
          <w:szCs w:val="20"/>
          <w:lang w:val="en-US"/>
        </w:rPr>
        <w:t>-Wa</w:t>
      </w:r>
      <w:r w:rsidRPr="00DA6117">
        <w:rPr>
          <w:rFonts w:ascii="Arial" w:hAnsi="Arial" w:cs="Arial"/>
          <w:sz w:val="20"/>
          <w:szCs w:val="20"/>
          <w:lang w:val="en-US"/>
        </w:rPr>
        <w:t>ll</w:t>
      </w:r>
      <w:r w:rsidRPr="00C116D5">
        <w:rPr>
          <w:rFonts w:ascii="Arial" w:hAnsi="Arial" w:cs="Arial"/>
          <w:sz w:val="20"/>
          <w:szCs w:val="20"/>
          <w:lang w:val="en-US"/>
        </w:rPr>
        <w:t xml:space="preserve">is test, </w:t>
      </w:r>
      <w:r w:rsidRPr="00C116D5">
        <w:rPr>
          <w:rFonts w:ascii="Arial" w:hAnsi="Arial" w:cs="Arial"/>
          <w:sz w:val="20"/>
          <w:szCs w:val="20"/>
          <w:vertAlign w:val="superscript"/>
          <w:lang w:val="en-US"/>
        </w:rPr>
        <w:t>b</w:t>
      </w:r>
      <w:r w:rsidRPr="00C116D5">
        <w:rPr>
          <w:rFonts w:ascii="Arial" w:hAnsi="Arial" w:cs="Arial"/>
          <w:sz w:val="20"/>
          <w:szCs w:val="20"/>
          <w:lang w:val="en-US"/>
        </w:rPr>
        <w:t xml:space="preserve"> PEG vs. Control; </w:t>
      </w:r>
      <w:r w:rsidRPr="00C116D5">
        <w:rPr>
          <w:rFonts w:ascii="Arial" w:eastAsia="Calibri" w:hAnsi="Arial" w:cs="Arial"/>
          <w:sz w:val="20"/>
          <w:szCs w:val="20"/>
          <w:vertAlign w:val="superscript"/>
          <w:lang w:val="en-US"/>
        </w:rPr>
        <w:t xml:space="preserve">c </w:t>
      </w:r>
      <w:r w:rsidRPr="00C116D5">
        <w:rPr>
          <w:rFonts w:ascii="Arial" w:eastAsia="Calibri" w:hAnsi="Arial" w:cs="Arial"/>
          <w:sz w:val="20"/>
          <w:szCs w:val="20"/>
          <w:lang w:val="en-US"/>
        </w:rPr>
        <w:t xml:space="preserve">PEX vs. Control; </w:t>
      </w:r>
      <w:r w:rsidRPr="00C116D5">
        <w:rPr>
          <w:rFonts w:ascii="Arial" w:eastAsia="Calibri" w:hAnsi="Arial" w:cs="Arial"/>
          <w:sz w:val="20"/>
          <w:szCs w:val="20"/>
          <w:vertAlign w:val="superscript"/>
          <w:lang w:val="en-US"/>
        </w:rPr>
        <w:t xml:space="preserve">d </w:t>
      </w:r>
      <w:r w:rsidRPr="00C116D5">
        <w:rPr>
          <w:rFonts w:ascii="Arial" w:eastAsia="Calibri" w:hAnsi="Arial" w:cs="Arial"/>
          <w:sz w:val="20"/>
          <w:szCs w:val="20"/>
          <w:lang w:val="en-US"/>
        </w:rPr>
        <w:t>PEG vs. PEX by Conover’s formula.</w:t>
      </w:r>
    </w:p>
    <w:p w14:paraId="10629FCD" w14:textId="77777777" w:rsidR="00FE487B" w:rsidRPr="00C116D5" w:rsidRDefault="008B5297" w:rsidP="00FE487B">
      <w:pPr>
        <w:spacing w:after="0" w:line="240" w:lineRule="auto"/>
        <w:rPr>
          <w:rFonts w:ascii="Arial" w:eastAsia="Calibri" w:hAnsi="Arial" w:cs="Arial"/>
          <w:sz w:val="20"/>
          <w:szCs w:val="20"/>
          <w:lang w:val="en-US"/>
        </w:rPr>
      </w:pPr>
      <w:r w:rsidRPr="00C116D5">
        <w:rPr>
          <w:rFonts w:ascii="Arial" w:eastAsia="Calibri" w:hAnsi="Arial" w:cs="Arial"/>
          <w:sz w:val="20"/>
          <w:szCs w:val="20"/>
          <w:lang w:val="en-US"/>
        </w:rPr>
        <w:t>*</w:t>
      </w:r>
      <w:r w:rsidRPr="003654C8">
        <w:rPr>
          <w:rFonts w:ascii="Arial" w:eastAsia="Calibri" w:hAnsi="Arial" w:cs="Arial"/>
          <w:i/>
          <w:sz w:val="20"/>
          <w:szCs w:val="20"/>
          <w:lang w:val="en-US"/>
        </w:rPr>
        <w:t>LM</w:t>
      </w:r>
      <w:r w:rsidRPr="00C116D5">
        <w:rPr>
          <w:rFonts w:ascii="Arial" w:eastAsia="Calibri" w:hAnsi="Arial" w:cs="Arial"/>
          <w:sz w:val="20"/>
          <w:szCs w:val="20"/>
          <w:lang w:val="en-US"/>
        </w:rPr>
        <w:t>+</w:t>
      </w:r>
      <w:r w:rsidRPr="003654C8">
        <w:rPr>
          <w:rFonts w:ascii="Arial" w:eastAsia="Calibri" w:hAnsi="Arial" w:cs="Arial"/>
          <w:i/>
          <w:sz w:val="20"/>
          <w:szCs w:val="20"/>
          <w:lang w:val="en-US"/>
        </w:rPr>
        <w:t>MM</w:t>
      </w:r>
      <w:r>
        <w:rPr>
          <w:rFonts w:ascii="Arial" w:eastAsia="Calibri" w:hAnsi="Arial" w:cs="Arial"/>
          <w:sz w:val="20"/>
          <w:szCs w:val="20"/>
          <w:lang w:val="en-US"/>
        </w:rPr>
        <w:t xml:space="preserve"> vs. </w:t>
      </w:r>
      <w:r w:rsidRPr="003654C8">
        <w:rPr>
          <w:rFonts w:ascii="Arial" w:eastAsia="Calibri" w:hAnsi="Arial" w:cs="Arial"/>
          <w:i/>
          <w:sz w:val="20"/>
          <w:szCs w:val="20"/>
          <w:lang w:val="en-US"/>
        </w:rPr>
        <w:t>MM</w:t>
      </w:r>
      <w:r w:rsidRPr="00C116D5">
        <w:rPr>
          <w:rFonts w:ascii="Arial" w:eastAsia="Calibri" w:hAnsi="Arial" w:cs="Arial"/>
          <w:sz w:val="20"/>
          <w:szCs w:val="20"/>
          <w:lang w:val="en-US"/>
        </w:rPr>
        <w:t xml:space="preserve"> by Mann-Whitney U test</w:t>
      </w:r>
      <w:r>
        <w:rPr>
          <w:rFonts w:ascii="Arial" w:eastAsia="Calibri" w:hAnsi="Arial" w:cs="Arial"/>
          <w:sz w:val="20"/>
          <w:szCs w:val="20"/>
          <w:lang w:val="en-US"/>
        </w:rPr>
        <w:t xml:space="preserve"> </w:t>
      </w:r>
      <w:r w:rsidR="00FE487B">
        <w:rPr>
          <w:rFonts w:ascii="Arial" w:eastAsia="Calibri" w:hAnsi="Arial" w:cs="Arial"/>
          <w:sz w:val="20"/>
          <w:szCs w:val="20"/>
          <w:lang w:val="en-US"/>
        </w:rPr>
        <w:t xml:space="preserve">and </w:t>
      </w:r>
      <w:proofErr w:type="spellStart"/>
      <w:r w:rsidR="00FE487B">
        <w:rPr>
          <w:rFonts w:ascii="Arial" w:eastAsia="Calibri" w:hAnsi="Arial" w:cs="Arial"/>
          <w:color w:val="000000" w:themeColor="text1"/>
          <w:sz w:val="20"/>
          <w:szCs w:val="20"/>
          <w:lang w:val="en-US"/>
        </w:rPr>
        <w:t>Bonferroni</w:t>
      </w:r>
      <w:proofErr w:type="spellEnd"/>
      <w:r w:rsidR="00FE487B">
        <w:rPr>
          <w:rFonts w:ascii="Arial" w:eastAsia="Calibri" w:hAnsi="Arial" w:cs="Arial"/>
          <w:color w:val="000000" w:themeColor="text1"/>
          <w:sz w:val="20"/>
          <w:szCs w:val="20"/>
          <w:lang w:val="en-US"/>
        </w:rPr>
        <w:t xml:space="preserve"> corrected significance cut-off value was 0.0125.</w:t>
      </w:r>
      <w:r w:rsidR="00FE487B" w:rsidRPr="00C116D5">
        <w:rPr>
          <w:rFonts w:ascii="Arial" w:eastAsia="Calibri" w:hAnsi="Arial" w:cs="Arial"/>
          <w:sz w:val="20"/>
          <w:szCs w:val="20"/>
          <w:lang w:val="en-US"/>
        </w:rPr>
        <w:t xml:space="preserve"> </w:t>
      </w:r>
    </w:p>
    <w:p w14:paraId="238BBC07" w14:textId="2BCDC746" w:rsidR="008B5297" w:rsidRPr="00C116D5" w:rsidRDefault="008B5297" w:rsidP="008B5297">
      <w:pPr>
        <w:spacing w:after="0" w:line="240" w:lineRule="auto"/>
        <w:rPr>
          <w:rFonts w:ascii="Arial" w:eastAsia="Calibri" w:hAnsi="Arial" w:cs="Arial"/>
          <w:sz w:val="20"/>
          <w:szCs w:val="20"/>
          <w:lang w:val="en-US"/>
        </w:rPr>
      </w:pPr>
    </w:p>
    <w:p w14:paraId="42B9220C" w14:textId="77777777" w:rsidR="008B5297" w:rsidRPr="00C116D5" w:rsidRDefault="008B5297" w:rsidP="008B5297">
      <w:pPr>
        <w:rPr>
          <w:rFonts w:ascii="Arial" w:hAnsi="Arial" w:cs="Arial"/>
          <w:b/>
          <w:lang w:val="en-US"/>
        </w:rPr>
      </w:pPr>
    </w:p>
    <w:p w14:paraId="535C0777" w14:textId="77777777" w:rsidR="008B5297" w:rsidRPr="00C116D5" w:rsidRDefault="008B5297" w:rsidP="008B5297">
      <w:pPr>
        <w:rPr>
          <w:rFonts w:ascii="Arial" w:hAnsi="Arial" w:cs="Arial"/>
          <w:b/>
          <w:lang w:val="en-US"/>
        </w:rPr>
      </w:pPr>
    </w:p>
    <w:p w14:paraId="0C9749A8" w14:textId="77777777" w:rsidR="008B5297" w:rsidRPr="00C116D5" w:rsidRDefault="008B5297" w:rsidP="008B5297">
      <w:pPr>
        <w:rPr>
          <w:rFonts w:ascii="Arial" w:hAnsi="Arial" w:cs="Arial"/>
          <w:b/>
          <w:lang w:val="en-US"/>
        </w:rPr>
      </w:pPr>
    </w:p>
    <w:p w14:paraId="22F17B50" w14:textId="77777777" w:rsidR="008B5297" w:rsidRPr="00C116D5" w:rsidRDefault="008B5297" w:rsidP="008B5297">
      <w:pPr>
        <w:rPr>
          <w:rFonts w:ascii="Arial" w:hAnsi="Arial" w:cs="Arial"/>
          <w:b/>
          <w:lang w:val="en-US"/>
        </w:rPr>
      </w:pPr>
    </w:p>
    <w:p w14:paraId="25147844" w14:textId="77777777" w:rsidR="008B5297" w:rsidRPr="00C116D5" w:rsidRDefault="008B5297" w:rsidP="008B5297">
      <w:pPr>
        <w:rPr>
          <w:rFonts w:ascii="Arial" w:hAnsi="Arial" w:cs="Arial"/>
          <w:b/>
          <w:lang w:val="en-US"/>
        </w:rPr>
      </w:pPr>
    </w:p>
    <w:p w14:paraId="1D569821" w14:textId="77777777" w:rsidR="008B5297" w:rsidRPr="00C116D5" w:rsidRDefault="008B5297" w:rsidP="008B5297">
      <w:pPr>
        <w:rPr>
          <w:rFonts w:ascii="Arial" w:hAnsi="Arial" w:cs="Arial"/>
          <w:b/>
          <w:lang w:val="en-US"/>
        </w:rPr>
      </w:pPr>
    </w:p>
    <w:p w14:paraId="1E16F226" w14:textId="77777777" w:rsidR="008B5297" w:rsidRPr="00C116D5" w:rsidRDefault="008B5297" w:rsidP="008B5297">
      <w:pPr>
        <w:rPr>
          <w:rFonts w:ascii="Arial" w:hAnsi="Arial" w:cs="Arial"/>
          <w:b/>
          <w:lang w:val="en-US"/>
        </w:rPr>
      </w:pPr>
    </w:p>
    <w:p w14:paraId="71544C35" w14:textId="77777777" w:rsidR="008B5297" w:rsidRPr="00C116D5" w:rsidRDefault="008B5297" w:rsidP="008B5297">
      <w:pPr>
        <w:rPr>
          <w:rFonts w:ascii="Arial" w:hAnsi="Arial" w:cs="Arial"/>
          <w:b/>
          <w:lang w:val="en-US"/>
        </w:rPr>
      </w:pPr>
    </w:p>
    <w:p w14:paraId="49FC7421" w14:textId="77777777" w:rsidR="008B5297" w:rsidRPr="00C116D5" w:rsidRDefault="008B5297" w:rsidP="008B5297">
      <w:pPr>
        <w:rPr>
          <w:rFonts w:ascii="Arial" w:hAnsi="Arial" w:cs="Arial"/>
          <w:b/>
          <w:lang w:val="en-US"/>
        </w:rPr>
      </w:pPr>
    </w:p>
    <w:p w14:paraId="74FFFEF6" w14:textId="77777777" w:rsidR="008B5297" w:rsidRPr="00C116D5" w:rsidRDefault="008B5297" w:rsidP="008B5297">
      <w:pPr>
        <w:rPr>
          <w:rFonts w:ascii="Arial" w:hAnsi="Arial" w:cs="Arial"/>
          <w:b/>
          <w:lang w:val="en-US"/>
        </w:rPr>
      </w:pPr>
    </w:p>
    <w:p w14:paraId="1BE50F91" w14:textId="77777777" w:rsidR="008B5297" w:rsidRPr="00C116D5" w:rsidRDefault="008B5297" w:rsidP="008B5297">
      <w:pPr>
        <w:rPr>
          <w:rFonts w:ascii="Arial" w:hAnsi="Arial" w:cs="Arial"/>
          <w:b/>
          <w:lang w:val="en-US"/>
        </w:rPr>
      </w:pPr>
    </w:p>
    <w:p w14:paraId="3D92EC3E" w14:textId="77777777" w:rsidR="008B5297" w:rsidRPr="00C116D5" w:rsidRDefault="008B5297" w:rsidP="008B5297">
      <w:pPr>
        <w:rPr>
          <w:rFonts w:ascii="Arial" w:hAnsi="Arial" w:cs="Arial"/>
          <w:b/>
          <w:lang w:val="en-US"/>
        </w:rPr>
      </w:pPr>
    </w:p>
    <w:p w14:paraId="487DD3B3" w14:textId="77777777" w:rsidR="008B5297" w:rsidRPr="00C116D5" w:rsidRDefault="008B5297" w:rsidP="008B5297">
      <w:pPr>
        <w:rPr>
          <w:rFonts w:ascii="Arial" w:hAnsi="Arial" w:cs="Arial"/>
          <w:b/>
          <w:lang w:val="en-US"/>
        </w:rPr>
      </w:pPr>
    </w:p>
    <w:p w14:paraId="1E2F5751" w14:textId="77777777" w:rsidR="008B5297" w:rsidRDefault="008B5297" w:rsidP="008B5297">
      <w:pPr>
        <w:rPr>
          <w:rFonts w:ascii="Arial" w:hAnsi="Arial" w:cs="Arial"/>
          <w:b/>
          <w:lang w:val="en-US"/>
        </w:rPr>
      </w:pPr>
    </w:p>
    <w:p w14:paraId="6F6DC041" w14:textId="77777777" w:rsidR="001F4084" w:rsidRPr="00C116D5" w:rsidRDefault="001F4084" w:rsidP="008B5297">
      <w:pPr>
        <w:rPr>
          <w:rFonts w:ascii="Arial" w:hAnsi="Arial" w:cs="Arial"/>
          <w:b/>
          <w:lang w:val="en-US"/>
        </w:rPr>
      </w:pPr>
    </w:p>
    <w:p w14:paraId="19357760" w14:textId="77777777" w:rsidR="008B5297" w:rsidRPr="00C116D5" w:rsidRDefault="008B5297" w:rsidP="008B5297">
      <w:pPr>
        <w:rPr>
          <w:rFonts w:ascii="Arial" w:hAnsi="Arial" w:cs="Arial"/>
          <w:b/>
          <w:lang w:val="en-US"/>
        </w:rPr>
      </w:pPr>
    </w:p>
    <w:p w14:paraId="7207A739" w14:textId="168061B1" w:rsidR="008B5297" w:rsidRPr="00C116D5" w:rsidRDefault="008B5297" w:rsidP="008B5297">
      <w:pPr>
        <w:rPr>
          <w:rFonts w:ascii="Arial" w:hAnsi="Arial" w:cs="Arial"/>
          <w:bCs/>
          <w:lang w:val="en-US"/>
        </w:rPr>
      </w:pPr>
      <w:proofErr w:type="gramStart"/>
      <w:r w:rsidRPr="00C116D5">
        <w:rPr>
          <w:rFonts w:ascii="Arial" w:hAnsi="Arial" w:cs="Arial"/>
          <w:b/>
          <w:lang w:val="en-US"/>
        </w:rPr>
        <w:lastRenderedPageBreak/>
        <w:t xml:space="preserve">Table </w:t>
      </w:r>
      <w:r w:rsidR="00023145" w:rsidRPr="001F4084">
        <w:rPr>
          <w:rFonts w:ascii="Arial" w:hAnsi="Arial" w:cs="Arial"/>
          <w:b/>
          <w:lang w:val="en-US"/>
        </w:rPr>
        <w:t>8</w:t>
      </w:r>
      <w:r w:rsidR="00023145">
        <w:rPr>
          <w:rFonts w:ascii="Arial" w:hAnsi="Arial" w:cs="Arial"/>
          <w:lang w:val="en-US"/>
        </w:rPr>
        <w:t>.</w:t>
      </w:r>
      <w:proofErr w:type="gramEnd"/>
      <w:r w:rsidRPr="00C116D5">
        <w:rPr>
          <w:rFonts w:ascii="Arial" w:hAnsi="Arial" w:cs="Arial"/>
          <w:lang w:val="en-US"/>
        </w:rPr>
        <w:t xml:space="preserve"> Distribution of </w:t>
      </w:r>
      <w:r w:rsidRPr="00CF17E2">
        <w:rPr>
          <w:rFonts w:ascii="Arial" w:hAnsi="Arial" w:cs="Arial"/>
          <w:i/>
          <w:lang w:val="en-US"/>
        </w:rPr>
        <w:t xml:space="preserve">PON1 </w:t>
      </w:r>
      <w:r w:rsidR="001F4084">
        <w:rPr>
          <w:rFonts w:ascii="Arial" w:hAnsi="Arial" w:cs="Arial"/>
          <w:i/>
          <w:lang w:val="en-US"/>
        </w:rPr>
        <w:t>-</w:t>
      </w:r>
      <w:r w:rsidRPr="00CF17E2">
        <w:rPr>
          <w:rFonts w:ascii="Arial" w:hAnsi="Arial" w:cs="Arial"/>
          <w:i/>
          <w:lang w:val="en-US"/>
        </w:rPr>
        <w:t>107T/C</w:t>
      </w:r>
      <w:r w:rsidRPr="00C116D5">
        <w:rPr>
          <w:rFonts w:ascii="Arial" w:hAnsi="Arial" w:cs="Arial"/>
          <w:lang w:val="en-US"/>
        </w:rPr>
        <w:t xml:space="preserve">, </w:t>
      </w:r>
      <w:r w:rsidRPr="00CF17E2">
        <w:rPr>
          <w:rFonts w:ascii="Arial" w:hAnsi="Arial" w:cs="Arial"/>
          <w:i/>
          <w:lang w:val="en-US"/>
        </w:rPr>
        <w:t>192Q/R</w:t>
      </w:r>
      <w:r w:rsidRPr="00C116D5">
        <w:rPr>
          <w:rFonts w:ascii="Arial" w:hAnsi="Arial" w:cs="Arial"/>
          <w:lang w:val="en-US"/>
        </w:rPr>
        <w:t xml:space="preserve"> and </w:t>
      </w:r>
      <w:r w:rsidRPr="00CF17E2">
        <w:rPr>
          <w:rFonts w:ascii="Arial" w:hAnsi="Arial" w:cs="Arial"/>
          <w:i/>
          <w:lang w:val="en-US"/>
        </w:rPr>
        <w:t>55L/M</w:t>
      </w:r>
      <w:r w:rsidRPr="00C116D5">
        <w:rPr>
          <w:rFonts w:ascii="Arial" w:hAnsi="Arial" w:cs="Arial"/>
          <w:lang w:val="en-US"/>
        </w:rPr>
        <w:t xml:space="preserve"> minor a</w:t>
      </w:r>
      <w:r w:rsidRPr="0096740C">
        <w:rPr>
          <w:rFonts w:ascii="Arial" w:hAnsi="Arial" w:cs="Arial"/>
          <w:lang w:val="en-US"/>
        </w:rPr>
        <w:t>ll</w:t>
      </w:r>
      <w:r w:rsidRPr="00C116D5">
        <w:rPr>
          <w:rFonts w:ascii="Arial" w:hAnsi="Arial" w:cs="Arial"/>
          <w:lang w:val="en-US"/>
        </w:rPr>
        <w:t xml:space="preserve">ele frequencies in different visual field </w:t>
      </w:r>
      <w:r w:rsidRPr="00C116D5">
        <w:rPr>
          <w:rFonts w:ascii="Arial" w:hAnsi="Arial" w:cs="Arial"/>
          <w:bCs/>
          <w:lang w:val="en-US"/>
        </w:rPr>
        <w:t>severity stages (</w:t>
      </w:r>
      <w:r>
        <w:rPr>
          <w:rFonts w:ascii="Arial" w:hAnsi="Arial" w:cs="Arial"/>
          <w:bCs/>
          <w:lang w:val="en-US"/>
        </w:rPr>
        <w:t>VFS</w:t>
      </w:r>
      <w:r w:rsidRPr="00C116D5">
        <w:rPr>
          <w:rFonts w:ascii="Arial" w:hAnsi="Arial" w:cs="Arial"/>
          <w:bCs/>
          <w:lang w:val="en-US"/>
        </w:rPr>
        <w:t>)</w:t>
      </w:r>
    </w:p>
    <w:tbl>
      <w:tblPr>
        <w:tblStyle w:val="TabloKlavuzu"/>
        <w:tblW w:w="0" w:type="auto"/>
        <w:tblLook w:val="04A0" w:firstRow="1" w:lastRow="0" w:firstColumn="1" w:lastColumn="0" w:noHBand="0" w:noVBand="1"/>
      </w:tblPr>
      <w:tblGrid>
        <w:gridCol w:w="1555"/>
        <w:gridCol w:w="2446"/>
        <w:gridCol w:w="2374"/>
        <w:gridCol w:w="2410"/>
      </w:tblGrid>
      <w:tr w:rsidR="008B5297" w:rsidRPr="00C116D5" w14:paraId="4373FD9D" w14:textId="77777777" w:rsidTr="00023145">
        <w:tc>
          <w:tcPr>
            <w:tcW w:w="1555" w:type="dxa"/>
            <w:vMerge w:val="restart"/>
          </w:tcPr>
          <w:p w14:paraId="2AA72008" w14:textId="77777777" w:rsidR="008B5297" w:rsidRPr="00C116D5" w:rsidRDefault="008B5297" w:rsidP="00023145">
            <w:pPr>
              <w:rPr>
                <w:rFonts w:ascii="Arial" w:hAnsi="Arial" w:cs="Arial"/>
                <w:bCs/>
                <w:lang w:val="en-US"/>
              </w:rPr>
            </w:pPr>
            <w:r>
              <w:rPr>
                <w:rFonts w:ascii="Arial" w:hAnsi="Arial" w:cs="Arial"/>
                <w:lang w:val="en-US"/>
              </w:rPr>
              <w:t>VFS</w:t>
            </w:r>
            <w:r w:rsidRPr="00C116D5">
              <w:rPr>
                <w:rFonts w:ascii="Arial" w:hAnsi="Arial" w:cs="Arial"/>
                <w:lang w:val="en-US"/>
              </w:rPr>
              <w:t xml:space="preserve"> </w:t>
            </w:r>
            <w:r w:rsidRPr="00C116D5">
              <w:rPr>
                <w:rFonts w:ascii="Arial" w:hAnsi="Arial" w:cs="Arial"/>
                <w:bCs/>
                <w:lang w:val="en-US"/>
              </w:rPr>
              <w:t xml:space="preserve"> </w:t>
            </w:r>
          </w:p>
        </w:tc>
        <w:tc>
          <w:tcPr>
            <w:tcW w:w="7230" w:type="dxa"/>
            <w:gridSpan w:val="3"/>
          </w:tcPr>
          <w:p w14:paraId="6884A327"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Minor a</w:t>
            </w:r>
            <w:r w:rsidRPr="0096740C">
              <w:rPr>
                <w:rFonts w:ascii="Arial" w:hAnsi="Arial" w:cs="Arial"/>
                <w:bCs/>
                <w:lang w:val="en-US"/>
              </w:rPr>
              <w:t>ll</w:t>
            </w:r>
            <w:r w:rsidRPr="00C116D5">
              <w:rPr>
                <w:rFonts w:ascii="Arial" w:hAnsi="Arial" w:cs="Arial"/>
                <w:bCs/>
                <w:lang w:val="en-US"/>
              </w:rPr>
              <w:t>ele frequency</w:t>
            </w:r>
          </w:p>
        </w:tc>
      </w:tr>
      <w:tr w:rsidR="008B5297" w:rsidRPr="00C116D5" w14:paraId="15FE0321" w14:textId="77777777" w:rsidTr="00023145">
        <w:tc>
          <w:tcPr>
            <w:tcW w:w="1555" w:type="dxa"/>
            <w:vMerge/>
          </w:tcPr>
          <w:p w14:paraId="53D53FD5" w14:textId="77777777" w:rsidR="008B5297" w:rsidRPr="00C116D5" w:rsidRDefault="008B5297" w:rsidP="00023145">
            <w:pPr>
              <w:spacing w:line="360" w:lineRule="auto"/>
              <w:rPr>
                <w:rFonts w:ascii="Arial" w:hAnsi="Arial" w:cs="Arial"/>
                <w:bCs/>
                <w:lang w:val="en-US"/>
              </w:rPr>
            </w:pPr>
          </w:p>
        </w:tc>
        <w:tc>
          <w:tcPr>
            <w:tcW w:w="2446" w:type="dxa"/>
          </w:tcPr>
          <w:p w14:paraId="36FEB961" w14:textId="4F6FF48B" w:rsidR="008B5297" w:rsidRPr="00AD15B3" w:rsidRDefault="008B5297" w:rsidP="00023145">
            <w:pPr>
              <w:spacing w:line="360" w:lineRule="auto"/>
              <w:jc w:val="center"/>
              <w:rPr>
                <w:rFonts w:ascii="Arial" w:hAnsi="Arial" w:cs="Arial"/>
                <w:bCs/>
                <w:i/>
                <w:lang w:val="en-US"/>
              </w:rPr>
            </w:pPr>
            <w:r w:rsidRPr="00AD15B3">
              <w:rPr>
                <w:rFonts w:ascii="Arial" w:hAnsi="Arial" w:cs="Arial"/>
                <w:bCs/>
                <w:i/>
                <w:lang w:val="en-US"/>
              </w:rPr>
              <w:t xml:space="preserve">PON1 </w:t>
            </w:r>
            <w:r w:rsidR="001F4084">
              <w:rPr>
                <w:rFonts w:ascii="Arial" w:hAnsi="Arial" w:cs="Arial"/>
                <w:bCs/>
                <w:i/>
                <w:lang w:val="en-US"/>
              </w:rPr>
              <w:t>-</w:t>
            </w:r>
            <w:r w:rsidRPr="00AD15B3">
              <w:rPr>
                <w:rFonts w:ascii="Arial" w:hAnsi="Arial" w:cs="Arial"/>
                <w:bCs/>
                <w:i/>
                <w:lang w:val="en-US"/>
              </w:rPr>
              <w:t>107C</w:t>
            </w:r>
          </w:p>
        </w:tc>
        <w:tc>
          <w:tcPr>
            <w:tcW w:w="2374" w:type="dxa"/>
          </w:tcPr>
          <w:p w14:paraId="651A8066" w14:textId="77777777" w:rsidR="008B5297" w:rsidRPr="00AD15B3" w:rsidRDefault="008B5297" w:rsidP="00023145">
            <w:pPr>
              <w:spacing w:line="360" w:lineRule="auto"/>
              <w:jc w:val="center"/>
              <w:rPr>
                <w:rFonts w:ascii="Arial" w:hAnsi="Arial" w:cs="Arial"/>
                <w:bCs/>
                <w:i/>
                <w:lang w:val="en-US"/>
              </w:rPr>
            </w:pPr>
            <w:r w:rsidRPr="00AD15B3">
              <w:rPr>
                <w:rFonts w:ascii="Arial" w:hAnsi="Arial" w:cs="Arial"/>
                <w:bCs/>
                <w:i/>
                <w:lang w:val="en-US"/>
              </w:rPr>
              <w:t>PON1 192R</w:t>
            </w:r>
          </w:p>
        </w:tc>
        <w:tc>
          <w:tcPr>
            <w:tcW w:w="2410" w:type="dxa"/>
          </w:tcPr>
          <w:p w14:paraId="44BCB1CE" w14:textId="77777777" w:rsidR="008B5297" w:rsidRPr="00AD15B3" w:rsidRDefault="008B5297" w:rsidP="00023145">
            <w:pPr>
              <w:spacing w:line="360" w:lineRule="auto"/>
              <w:jc w:val="center"/>
              <w:rPr>
                <w:rFonts w:ascii="Arial" w:hAnsi="Arial" w:cs="Arial"/>
                <w:bCs/>
                <w:i/>
                <w:lang w:val="en-US"/>
              </w:rPr>
            </w:pPr>
            <w:r w:rsidRPr="00AD15B3">
              <w:rPr>
                <w:rFonts w:ascii="Arial" w:hAnsi="Arial" w:cs="Arial"/>
                <w:bCs/>
                <w:i/>
                <w:lang w:val="en-US"/>
              </w:rPr>
              <w:t>PON1 55M</w:t>
            </w:r>
          </w:p>
        </w:tc>
      </w:tr>
      <w:tr w:rsidR="008B5297" w:rsidRPr="00C116D5" w14:paraId="70B35F58" w14:textId="77777777" w:rsidTr="00023145">
        <w:tc>
          <w:tcPr>
            <w:tcW w:w="1555" w:type="dxa"/>
            <w:vAlign w:val="center"/>
          </w:tcPr>
          <w:p w14:paraId="4CCAD3EB" w14:textId="77777777" w:rsidR="008B5297" w:rsidRPr="00C116D5" w:rsidRDefault="008B5297" w:rsidP="00023145">
            <w:pPr>
              <w:spacing w:line="360" w:lineRule="auto"/>
              <w:rPr>
                <w:rFonts w:ascii="Arial" w:hAnsi="Arial" w:cs="Arial"/>
                <w:bCs/>
                <w:lang w:val="en-US"/>
              </w:rPr>
            </w:pPr>
            <w:r w:rsidRPr="00C116D5">
              <w:rPr>
                <w:rFonts w:ascii="Arial" w:hAnsi="Arial" w:cs="Arial"/>
                <w:bCs/>
                <w:lang w:val="en-US"/>
              </w:rPr>
              <w:t>1</w:t>
            </w:r>
          </w:p>
        </w:tc>
        <w:tc>
          <w:tcPr>
            <w:tcW w:w="2446" w:type="dxa"/>
            <w:vAlign w:val="center"/>
          </w:tcPr>
          <w:p w14:paraId="1C30AA6D"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0.417</w:t>
            </w:r>
          </w:p>
        </w:tc>
        <w:tc>
          <w:tcPr>
            <w:tcW w:w="2374" w:type="dxa"/>
            <w:vAlign w:val="center"/>
          </w:tcPr>
          <w:p w14:paraId="1206D917"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0.297</w:t>
            </w:r>
          </w:p>
        </w:tc>
        <w:tc>
          <w:tcPr>
            <w:tcW w:w="2410" w:type="dxa"/>
            <w:vAlign w:val="center"/>
          </w:tcPr>
          <w:p w14:paraId="2BC2F164"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0.330</w:t>
            </w:r>
          </w:p>
        </w:tc>
      </w:tr>
      <w:tr w:rsidR="008B5297" w:rsidRPr="00C116D5" w14:paraId="596953C9" w14:textId="77777777" w:rsidTr="00023145">
        <w:tc>
          <w:tcPr>
            <w:tcW w:w="1555" w:type="dxa"/>
            <w:vAlign w:val="center"/>
          </w:tcPr>
          <w:p w14:paraId="2C5DA0E4" w14:textId="77777777" w:rsidR="008B5297" w:rsidRPr="00C116D5" w:rsidRDefault="008B5297" w:rsidP="00023145">
            <w:pPr>
              <w:spacing w:line="360" w:lineRule="auto"/>
              <w:rPr>
                <w:rFonts w:ascii="Arial" w:hAnsi="Arial" w:cs="Arial"/>
                <w:bCs/>
                <w:lang w:val="en-US"/>
              </w:rPr>
            </w:pPr>
            <w:r w:rsidRPr="00C116D5">
              <w:rPr>
                <w:rFonts w:ascii="Arial" w:hAnsi="Arial" w:cs="Arial"/>
                <w:bCs/>
                <w:lang w:val="en-US"/>
              </w:rPr>
              <w:t>2</w:t>
            </w:r>
          </w:p>
        </w:tc>
        <w:tc>
          <w:tcPr>
            <w:tcW w:w="2446" w:type="dxa"/>
            <w:vAlign w:val="center"/>
          </w:tcPr>
          <w:p w14:paraId="1EF2104A"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0.433</w:t>
            </w:r>
          </w:p>
        </w:tc>
        <w:tc>
          <w:tcPr>
            <w:tcW w:w="2374" w:type="dxa"/>
            <w:vAlign w:val="center"/>
          </w:tcPr>
          <w:p w14:paraId="4767A8F8"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0.271</w:t>
            </w:r>
          </w:p>
        </w:tc>
        <w:tc>
          <w:tcPr>
            <w:tcW w:w="2410" w:type="dxa"/>
            <w:vAlign w:val="center"/>
          </w:tcPr>
          <w:p w14:paraId="6ECA13DF"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0.348</w:t>
            </w:r>
          </w:p>
        </w:tc>
      </w:tr>
      <w:tr w:rsidR="008B5297" w:rsidRPr="00C116D5" w14:paraId="4502F2F5" w14:textId="77777777" w:rsidTr="00023145">
        <w:tc>
          <w:tcPr>
            <w:tcW w:w="1555" w:type="dxa"/>
            <w:vAlign w:val="center"/>
          </w:tcPr>
          <w:p w14:paraId="38C036F0" w14:textId="77777777" w:rsidR="008B5297" w:rsidRPr="00C116D5" w:rsidRDefault="008B5297" w:rsidP="00023145">
            <w:pPr>
              <w:spacing w:line="360" w:lineRule="auto"/>
              <w:rPr>
                <w:rFonts w:ascii="Arial" w:hAnsi="Arial" w:cs="Arial"/>
                <w:bCs/>
                <w:lang w:val="en-US"/>
              </w:rPr>
            </w:pPr>
            <w:r w:rsidRPr="00C116D5">
              <w:rPr>
                <w:rFonts w:ascii="Arial" w:hAnsi="Arial" w:cs="Arial"/>
                <w:bCs/>
                <w:lang w:val="en-US"/>
              </w:rPr>
              <w:t>3</w:t>
            </w:r>
          </w:p>
        </w:tc>
        <w:tc>
          <w:tcPr>
            <w:tcW w:w="2446" w:type="dxa"/>
            <w:vAlign w:val="center"/>
          </w:tcPr>
          <w:p w14:paraId="410864C3"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0.522</w:t>
            </w:r>
          </w:p>
        </w:tc>
        <w:tc>
          <w:tcPr>
            <w:tcW w:w="2374" w:type="dxa"/>
            <w:vAlign w:val="center"/>
          </w:tcPr>
          <w:p w14:paraId="7A0E62EE"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0.200</w:t>
            </w:r>
          </w:p>
        </w:tc>
        <w:tc>
          <w:tcPr>
            <w:tcW w:w="2410" w:type="dxa"/>
            <w:vAlign w:val="center"/>
          </w:tcPr>
          <w:p w14:paraId="14F6395A"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0.402</w:t>
            </w:r>
          </w:p>
        </w:tc>
      </w:tr>
      <w:tr w:rsidR="008B5297" w:rsidRPr="00C116D5" w14:paraId="5ABE8586" w14:textId="77777777" w:rsidTr="00023145">
        <w:tc>
          <w:tcPr>
            <w:tcW w:w="1555" w:type="dxa"/>
            <w:vAlign w:val="center"/>
          </w:tcPr>
          <w:p w14:paraId="1D2F82DD" w14:textId="77777777" w:rsidR="008B5297" w:rsidRPr="00C116D5" w:rsidRDefault="008B5297" w:rsidP="00023145">
            <w:pPr>
              <w:spacing w:line="360" w:lineRule="auto"/>
              <w:rPr>
                <w:rFonts w:ascii="Arial" w:hAnsi="Arial" w:cs="Arial"/>
                <w:bCs/>
                <w:lang w:val="en-US"/>
              </w:rPr>
            </w:pPr>
            <w:r w:rsidRPr="00C116D5">
              <w:rPr>
                <w:rFonts w:ascii="Arial" w:hAnsi="Arial" w:cs="Arial"/>
                <w:bCs/>
                <w:lang w:val="en-US"/>
              </w:rPr>
              <w:t>4</w:t>
            </w:r>
          </w:p>
        </w:tc>
        <w:tc>
          <w:tcPr>
            <w:tcW w:w="2446" w:type="dxa"/>
            <w:vAlign w:val="center"/>
          </w:tcPr>
          <w:p w14:paraId="42BC144E"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0.500</w:t>
            </w:r>
          </w:p>
        </w:tc>
        <w:tc>
          <w:tcPr>
            <w:tcW w:w="2374" w:type="dxa"/>
            <w:vAlign w:val="center"/>
          </w:tcPr>
          <w:p w14:paraId="4463BAC5"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0.278</w:t>
            </w:r>
          </w:p>
        </w:tc>
        <w:tc>
          <w:tcPr>
            <w:tcW w:w="2410" w:type="dxa"/>
            <w:vAlign w:val="center"/>
          </w:tcPr>
          <w:p w14:paraId="4100E784"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0.306</w:t>
            </w:r>
          </w:p>
        </w:tc>
      </w:tr>
      <w:tr w:rsidR="008B5297" w:rsidRPr="00C116D5" w14:paraId="1D66E6E3" w14:textId="77777777" w:rsidTr="00023145">
        <w:tc>
          <w:tcPr>
            <w:tcW w:w="1555" w:type="dxa"/>
            <w:vAlign w:val="center"/>
          </w:tcPr>
          <w:p w14:paraId="5A1545F6" w14:textId="77777777" w:rsidR="008B5297" w:rsidRPr="00C116D5" w:rsidRDefault="008B5297" w:rsidP="00023145">
            <w:pPr>
              <w:spacing w:line="360" w:lineRule="auto"/>
              <w:rPr>
                <w:rFonts w:ascii="Arial" w:hAnsi="Arial" w:cs="Arial"/>
                <w:bCs/>
                <w:lang w:val="en-US"/>
              </w:rPr>
            </w:pPr>
            <w:r w:rsidRPr="00C116D5">
              <w:rPr>
                <w:rFonts w:ascii="Arial" w:hAnsi="Arial" w:cs="Arial"/>
                <w:bCs/>
                <w:lang w:val="en-US"/>
              </w:rPr>
              <w:t>5</w:t>
            </w:r>
          </w:p>
        </w:tc>
        <w:tc>
          <w:tcPr>
            <w:tcW w:w="2446" w:type="dxa"/>
            <w:vAlign w:val="center"/>
          </w:tcPr>
          <w:p w14:paraId="7D29D7DD"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0.500</w:t>
            </w:r>
          </w:p>
        </w:tc>
        <w:tc>
          <w:tcPr>
            <w:tcW w:w="2374" w:type="dxa"/>
            <w:vAlign w:val="center"/>
          </w:tcPr>
          <w:p w14:paraId="494B2FE5"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0.250</w:t>
            </w:r>
          </w:p>
        </w:tc>
        <w:tc>
          <w:tcPr>
            <w:tcW w:w="2410" w:type="dxa"/>
            <w:vAlign w:val="center"/>
          </w:tcPr>
          <w:p w14:paraId="647952B5" w14:textId="77777777" w:rsidR="008B5297" w:rsidRPr="00C116D5" w:rsidRDefault="008B5297" w:rsidP="00023145">
            <w:pPr>
              <w:spacing w:line="360" w:lineRule="auto"/>
              <w:jc w:val="center"/>
              <w:rPr>
                <w:rFonts w:ascii="Arial" w:hAnsi="Arial" w:cs="Arial"/>
                <w:bCs/>
                <w:lang w:val="en-US"/>
              </w:rPr>
            </w:pPr>
            <w:r w:rsidRPr="00C116D5">
              <w:rPr>
                <w:rFonts w:ascii="Arial" w:hAnsi="Arial" w:cs="Arial"/>
                <w:bCs/>
                <w:lang w:val="en-US"/>
              </w:rPr>
              <w:t>0.625</w:t>
            </w:r>
          </w:p>
        </w:tc>
      </w:tr>
    </w:tbl>
    <w:p w14:paraId="0FB452FB" w14:textId="77777777" w:rsidR="008B5297" w:rsidRPr="00C116D5" w:rsidRDefault="008B5297" w:rsidP="008B5297">
      <w:pPr>
        <w:spacing w:after="240" w:line="0" w:lineRule="atLeast"/>
        <w:rPr>
          <w:rFonts w:ascii="Arial" w:hAnsi="Arial" w:cs="Arial"/>
          <w:lang w:val="en-US" w:eastAsia="tr-TR" w:bidi="en-US"/>
        </w:rPr>
      </w:pPr>
      <w:r w:rsidRPr="00C116D5">
        <w:rPr>
          <w:rFonts w:ascii="Arial" w:hAnsi="Arial" w:cs="Arial"/>
          <w:lang w:val="en-US" w:eastAsia="tr-TR" w:bidi="en-US"/>
        </w:rPr>
        <w:t>The highest and lowest frequencies were compared using the chi-</w:t>
      </w:r>
      <w:r>
        <w:rPr>
          <w:rFonts w:ascii="Arial" w:hAnsi="Arial" w:cs="Arial"/>
          <w:lang w:val="en-US" w:eastAsia="tr-TR" w:bidi="en-US"/>
        </w:rPr>
        <w:t>squared</w:t>
      </w:r>
      <w:r w:rsidRPr="00C116D5">
        <w:rPr>
          <w:rFonts w:ascii="Arial" w:hAnsi="Arial" w:cs="Arial"/>
          <w:lang w:val="en-US" w:eastAsia="tr-TR" w:bidi="en-US"/>
        </w:rPr>
        <w:t xml:space="preserve"> test. None of the frequencies differed significantly across the </w:t>
      </w:r>
      <w:r>
        <w:rPr>
          <w:rFonts w:ascii="Arial" w:hAnsi="Arial" w:cs="Arial"/>
          <w:lang w:val="en-US" w:eastAsia="tr-TR" w:bidi="en-US"/>
        </w:rPr>
        <w:t>VFS</w:t>
      </w:r>
      <w:r w:rsidRPr="00C116D5">
        <w:rPr>
          <w:rFonts w:ascii="Arial" w:hAnsi="Arial" w:cs="Arial"/>
          <w:lang w:val="en-US" w:eastAsia="tr-TR" w:bidi="en-US"/>
        </w:rPr>
        <w:t xml:space="preserve"> groups</w:t>
      </w:r>
    </w:p>
    <w:p w14:paraId="13E029B9" w14:textId="77777777" w:rsidR="008B5297" w:rsidRPr="00C116D5" w:rsidRDefault="008B5297" w:rsidP="008B5297">
      <w:pPr>
        <w:spacing w:after="240" w:line="0" w:lineRule="atLeast"/>
        <w:rPr>
          <w:rFonts w:ascii="Arial" w:hAnsi="Arial" w:cs="Arial"/>
          <w:lang w:val="en-US" w:eastAsia="tr-TR" w:bidi="en-US"/>
        </w:rPr>
      </w:pPr>
    </w:p>
    <w:p w14:paraId="19AD5D13" w14:textId="77777777" w:rsidR="008B5297" w:rsidRPr="00C116D5" w:rsidRDefault="008B5297" w:rsidP="008B5297">
      <w:pPr>
        <w:spacing w:after="240" w:line="0" w:lineRule="atLeast"/>
        <w:rPr>
          <w:rFonts w:ascii="Arial" w:hAnsi="Arial" w:cs="Arial"/>
          <w:lang w:val="en-US" w:eastAsia="tr-TR" w:bidi="en-US"/>
        </w:rPr>
      </w:pPr>
    </w:p>
    <w:p w14:paraId="2AD86497" w14:textId="77777777" w:rsidR="008B5297" w:rsidRPr="00623E50" w:rsidRDefault="008B5297" w:rsidP="008B5297">
      <w:pPr>
        <w:spacing w:after="240" w:line="0" w:lineRule="atLeast"/>
        <w:rPr>
          <w:rFonts w:ascii="Arial" w:hAnsi="Arial" w:cs="Arial"/>
          <w:lang w:val="en-US" w:eastAsia="tr-TR" w:bidi="en-US"/>
        </w:rPr>
      </w:pPr>
    </w:p>
    <w:p w14:paraId="2CA3E50A" w14:textId="6AF20807" w:rsidR="008B5297" w:rsidRDefault="008B5297">
      <w:pPr>
        <w:rPr>
          <w:rFonts w:ascii="Arial" w:hAnsi="Arial" w:cs="Arial"/>
          <w:b/>
          <w:color w:val="000000" w:themeColor="text1"/>
          <w:lang w:val="en-US"/>
        </w:rPr>
      </w:pPr>
    </w:p>
    <w:p w14:paraId="1BAEAB8B" w14:textId="77777777" w:rsidR="00004507" w:rsidRDefault="00004507" w:rsidP="00C15EA2">
      <w:pPr>
        <w:shd w:val="clear" w:color="auto" w:fill="FFFFFF"/>
        <w:spacing w:line="276" w:lineRule="auto"/>
        <w:rPr>
          <w:rFonts w:ascii="Arial" w:hAnsi="Arial" w:cs="Arial"/>
          <w:b/>
          <w:color w:val="000000" w:themeColor="text1"/>
          <w:lang w:val="en-US"/>
        </w:rPr>
      </w:pPr>
    </w:p>
    <w:sectPr w:rsidR="00004507" w:rsidSect="001F40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BD0D" w14:textId="77777777" w:rsidR="00845DF6" w:rsidRDefault="00845DF6" w:rsidP="00250F82">
      <w:pPr>
        <w:spacing w:after="0" w:line="240" w:lineRule="auto"/>
      </w:pPr>
      <w:r>
        <w:separator/>
      </w:r>
    </w:p>
  </w:endnote>
  <w:endnote w:type="continuationSeparator" w:id="0">
    <w:p w14:paraId="4B5534A3" w14:textId="77777777" w:rsidR="00845DF6" w:rsidRDefault="00845DF6" w:rsidP="0025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Roman">
    <w:altName w:val="MS Mincho"/>
    <w:panose1 w:val="00000000000000000000"/>
    <w:charset w:val="80"/>
    <w:family w:val="auto"/>
    <w:notTrueType/>
    <w:pitch w:val="default"/>
    <w:sig w:usb0="00000003" w:usb1="09070000" w:usb2="00000010" w:usb3="00000000" w:csb0="000A0001" w:csb1="00000000"/>
  </w:font>
  <w:font w:name="AdvTT3713a231+22">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Times">
    <w:altName w:val="Malgun Gothic"/>
    <w:panose1 w:val="00000000000000000000"/>
    <w:charset w:val="81"/>
    <w:family w:val="auto"/>
    <w:notTrueType/>
    <w:pitch w:val="default"/>
    <w:sig w:usb0="00000001" w:usb1="09060000" w:usb2="00000010" w:usb3="00000000" w:csb0="00080000" w:csb1="00000000"/>
  </w:font>
  <w:font w:name="宋体 Bold">
    <w:altName w:val="Microsoft YaHei"/>
    <w:panose1 w:val="00000000000000000000"/>
    <w:charset w:val="86"/>
    <w:family w:val="auto"/>
    <w:notTrueType/>
    <w:pitch w:val="default"/>
    <w:sig w:usb0="00000000" w:usb1="080E0000" w:usb2="00000010" w:usb3="00000000" w:csb0="00040000"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88295" w14:textId="77777777" w:rsidR="00845DF6" w:rsidRDefault="00845DF6" w:rsidP="00250F82">
      <w:pPr>
        <w:spacing w:after="0" w:line="240" w:lineRule="auto"/>
      </w:pPr>
      <w:r>
        <w:separator/>
      </w:r>
    </w:p>
  </w:footnote>
  <w:footnote w:type="continuationSeparator" w:id="0">
    <w:p w14:paraId="2302D7D3" w14:textId="77777777" w:rsidR="00845DF6" w:rsidRDefault="00845DF6" w:rsidP="00250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658"/>
    <w:multiLevelType w:val="hybridMultilevel"/>
    <w:tmpl w:val="DE8679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6C7B9E"/>
    <w:multiLevelType w:val="hybridMultilevel"/>
    <w:tmpl w:val="7CF09B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6381873"/>
    <w:multiLevelType w:val="hybridMultilevel"/>
    <w:tmpl w:val="3080F100"/>
    <w:lvl w:ilvl="0" w:tplc="5D8E7A8C">
      <w:start w:val="1"/>
      <w:numFmt w:val="decimal"/>
      <w:lvlText w:val="%1."/>
      <w:lvlJc w:val="left"/>
      <w:pPr>
        <w:ind w:left="720" w:hanging="360"/>
      </w:pPr>
      <w:rPr>
        <w:rFonts w:asciiTheme="minorHAnsi"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0E1B55"/>
    <w:multiLevelType w:val="hybridMultilevel"/>
    <w:tmpl w:val="8E26C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DA35F3"/>
    <w:multiLevelType w:val="multilevel"/>
    <w:tmpl w:val="C32C19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6E"/>
    <w:rsid w:val="000009D4"/>
    <w:rsid w:val="00000EF2"/>
    <w:rsid w:val="000028C0"/>
    <w:rsid w:val="00002B55"/>
    <w:rsid w:val="00002E5C"/>
    <w:rsid w:val="00004507"/>
    <w:rsid w:val="00004538"/>
    <w:rsid w:val="0000516D"/>
    <w:rsid w:val="00005584"/>
    <w:rsid w:val="00006B23"/>
    <w:rsid w:val="00007129"/>
    <w:rsid w:val="000107A5"/>
    <w:rsid w:val="00010A48"/>
    <w:rsid w:val="000123E4"/>
    <w:rsid w:val="000126D8"/>
    <w:rsid w:val="000139F9"/>
    <w:rsid w:val="00013D7A"/>
    <w:rsid w:val="00015076"/>
    <w:rsid w:val="000175D9"/>
    <w:rsid w:val="0001789E"/>
    <w:rsid w:val="0002036E"/>
    <w:rsid w:val="00021211"/>
    <w:rsid w:val="00021513"/>
    <w:rsid w:val="00021629"/>
    <w:rsid w:val="00021B13"/>
    <w:rsid w:val="00021CD2"/>
    <w:rsid w:val="00023145"/>
    <w:rsid w:val="000237E9"/>
    <w:rsid w:val="00024542"/>
    <w:rsid w:val="0002542C"/>
    <w:rsid w:val="000259F6"/>
    <w:rsid w:val="00025A65"/>
    <w:rsid w:val="00025C3E"/>
    <w:rsid w:val="00026213"/>
    <w:rsid w:val="00026FB9"/>
    <w:rsid w:val="0002728C"/>
    <w:rsid w:val="000306D6"/>
    <w:rsid w:val="00030B8E"/>
    <w:rsid w:val="00030E8F"/>
    <w:rsid w:val="0003174D"/>
    <w:rsid w:val="000327F3"/>
    <w:rsid w:val="00033048"/>
    <w:rsid w:val="00033A27"/>
    <w:rsid w:val="000351D0"/>
    <w:rsid w:val="000364EA"/>
    <w:rsid w:val="0003777E"/>
    <w:rsid w:val="000401F0"/>
    <w:rsid w:val="00040568"/>
    <w:rsid w:val="000408B2"/>
    <w:rsid w:val="00040E5C"/>
    <w:rsid w:val="000412C9"/>
    <w:rsid w:val="000412E3"/>
    <w:rsid w:val="00041EF1"/>
    <w:rsid w:val="0004218C"/>
    <w:rsid w:val="00042412"/>
    <w:rsid w:val="00042F8D"/>
    <w:rsid w:val="0004464B"/>
    <w:rsid w:val="000455B4"/>
    <w:rsid w:val="000458D9"/>
    <w:rsid w:val="00045DC1"/>
    <w:rsid w:val="00046736"/>
    <w:rsid w:val="000467BF"/>
    <w:rsid w:val="0004684C"/>
    <w:rsid w:val="000475CD"/>
    <w:rsid w:val="00050417"/>
    <w:rsid w:val="00053476"/>
    <w:rsid w:val="00053AA5"/>
    <w:rsid w:val="00053F3C"/>
    <w:rsid w:val="00054321"/>
    <w:rsid w:val="00057ABA"/>
    <w:rsid w:val="00057CB7"/>
    <w:rsid w:val="00060B26"/>
    <w:rsid w:val="00061083"/>
    <w:rsid w:val="000615C8"/>
    <w:rsid w:val="00062652"/>
    <w:rsid w:val="0006404E"/>
    <w:rsid w:val="0006497B"/>
    <w:rsid w:val="00064B21"/>
    <w:rsid w:val="00064C0F"/>
    <w:rsid w:val="00064F60"/>
    <w:rsid w:val="000669F3"/>
    <w:rsid w:val="00067543"/>
    <w:rsid w:val="0006756D"/>
    <w:rsid w:val="00070B47"/>
    <w:rsid w:val="0007131C"/>
    <w:rsid w:val="00071E63"/>
    <w:rsid w:val="00071F58"/>
    <w:rsid w:val="00072D1C"/>
    <w:rsid w:val="000731CB"/>
    <w:rsid w:val="0007454B"/>
    <w:rsid w:val="00074899"/>
    <w:rsid w:val="00074E4D"/>
    <w:rsid w:val="00076BE9"/>
    <w:rsid w:val="000771A7"/>
    <w:rsid w:val="00077403"/>
    <w:rsid w:val="00081360"/>
    <w:rsid w:val="00082000"/>
    <w:rsid w:val="000822DC"/>
    <w:rsid w:val="00083215"/>
    <w:rsid w:val="00083C9B"/>
    <w:rsid w:val="000844D7"/>
    <w:rsid w:val="00084619"/>
    <w:rsid w:val="000854A1"/>
    <w:rsid w:val="00085667"/>
    <w:rsid w:val="0008635F"/>
    <w:rsid w:val="00086D7B"/>
    <w:rsid w:val="00087005"/>
    <w:rsid w:val="0008767C"/>
    <w:rsid w:val="000876FD"/>
    <w:rsid w:val="00091828"/>
    <w:rsid w:val="00091A6B"/>
    <w:rsid w:val="0009290F"/>
    <w:rsid w:val="000932CF"/>
    <w:rsid w:val="00093823"/>
    <w:rsid w:val="00094EE5"/>
    <w:rsid w:val="000951A4"/>
    <w:rsid w:val="000A0791"/>
    <w:rsid w:val="000A131C"/>
    <w:rsid w:val="000A2B1F"/>
    <w:rsid w:val="000A479F"/>
    <w:rsid w:val="000A65E9"/>
    <w:rsid w:val="000A6DC5"/>
    <w:rsid w:val="000A7E51"/>
    <w:rsid w:val="000B1569"/>
    <w:rsid w:val="000B17B7"/>
    <w:rsid w:val="000B21C5"/>
    <w:rsid w:val="000B3294"/>
    <w:rsid w:val="000B3C72"/>
    <w:rsid w:val="000B4A4A"/>
    <w:rsid w:val="000B4CDE"/>
    <w:rsid w:val="000B52C4"/>
    <w:rsid w:val="000B555B"/>
    <w:rsid w:val="000B5615"/>
    <w:rsid w:val="000B5965"/>
    <w:rsid w:val="000B5B08"/>
    <w:rsid w:val="000B6DD5"/>
    <w:rsid w:val="000B7DAB"/>
    <w:rsid w:val="000C3424"/>
    <w:rsid w:val="000C36B5"/>
    <w:rsid w:val="000C6D05"/>
    <w:rsid w:val="000D0442"/>
    <w:rsid w:val="000D2995"/>
    <w:rsid w:val="000D2A47"/>
    <w:rsid w:val="000D2CD6"/>
    <w:rsid w:val="000D3D4A"/>
    <w:rsid w:val="000D4149"/>
    <w:rsid w:val="000D44AA"/>
    <w:rsid w:val="000D5573"/>
    <w:rsid w:val="000D58A2"/>
    <w:rsid w:val="000D5B7E"/>
    <w:rsid w:val="000D6CD6"/>
    <w:rsid w:val="000D6F84"/>
    <w:rsid w:val="000D73CB"/>
    <w:rsid w:val="000D74C0"/>
    <w:rsid w:val="000E0799"/>
    <w:rsid w:val="000E1DE7"/>
    <w:rsid w:val="000E3E82"/>
    <w:rsid w:val="000E500C"/>
    <w:rsid w:val="000E6A03"/>
    <w:rsid w:val="000F0B8E"/>
    <w:rsid w:val="000F2248"/>
    <w:rsid w:val="000F2870"/>
    <w:rsid w:val="000F2AE5"/>
    <w:rsid w:val="000F2EE0"/>
    <w:rsid w:val="000F2F4A"/>
    <w:rsid w:val="000F4F55"/>
    <w:rsid w:val="000F5B84"/>
    <w:rsid w:val="000F7CBC"/>
    <w:rsid w:val="001002B2"/>
    <w:rsid w:val="001014FE"/>
    <w:rsid w:val="00101806"/>
    <w:rsid w:val="00101A8F"/>
    <w:rsid w:val="00101F4C"/>
    <w:rsid w:val="00102755"/>
    <w:rsid w:val="00102B86"/>
    <w:rsid w:val="00103773"/>
    <w:rsid w:val="00105217"/>
    <w:rsid w:val="00107E0E"/>
    <w:rsid w:val="001114AC"/>
    <w:rsid w:val="001119F2"/>
    <w:rsid w:val="00112F96"/>
    <w:rsid w:val="00113453"/>
    <w:rsid w:val="001145E0"/>
    <w:rsid w:val="0011472E"/>
    <w:rsid w:val="00114B95"/>
    <w:rsid w:val="00116078"/>
    <w:rsid w:val="001165B5"/>
    <w:rsid w:val="00117A67"/>
    <w:rsid w:val="00117D8C"/>
    <w:rsid w:val="00120F96"/>
    <w:rsid w:val="0012292A"/>
    <w:rsid w:val="00122986"/>
    <w:rsid w:val="0012354E"/>
    <w:rsid w:val="00123B67"/>
    <w:rsid w:val="001254FB"/>
    <w:rsid w:val="0012660A"/>
    <w:rsid w:val="00126742"/>
    <w:rsid w:val="0012696E"/>
    <w:rsid w:val="0012769F"/>
    <w:rsid w:val="00127EB9"/>
    <w:rsid w:val="001320A7"/>
    <w:rsid w:val="001332C0"/>
    <w:rsid w:val="001346E0"/>
    <w:rsid w:val="001348FE"/>
    <w:rsid w:val="00134E53"/>
    <w:rsid w:val="00134EF7"/>
    <w:rsid w:val="00134F46"/>
    <w:rsid w:val="001350FE"/>
    <w:rsid w:val="00135201"/>
    <w:rsid w:val="00136090"/>
    <w:rsid w:val="00136CBE"/>
    <w:rsid w:val="00137147"/>
    <w:rsid w:val="00137673"/>
    <w:rsid w:val="00137A0F"/>
    <w:rsid w:val="00137AD0"/>
    <w:rsid w:val="001406C4"/>
    <w:rsid w:val="0014267A"/>
    <w:rsid w:val="0014284C"/>
    <w:rsid w:val="00144084"/>
    <w:rsid w:val="00144AB3"/>
    <w:rsid w:val="00144B94"/>
    <w:rsid w:val="00145260"/>
    <w:rsid w:val="001456F5"/>
    <w:rsid w:val="00145EE1"/>
    <w:rsid w:val="00146361"/>
    <w:rsid w:val="00146BA3"/>
    <w:rsid w:val="00146EB2"/>
    <w:rsid w:val="001475C6"/>
    <w:rsid w:val="00147ACD"/>
    <w:rsid w:val="00147C7B"/>
    <w:rsid w:val="00150FE8"/>
    <w:rsid w:val="00151CAA"/>
    <w:rsid w:val="001528D0"/>
    <w:rsid w:val="00152B64"/>
    <w:rsid w:val="001549F3"/>
    <w:rsid w:val="00155F7D"/>
    <w:rsid w:val="00156318"/>
    <w:rsid w:val="0015750A"/>
    <w:rsid w:val="00160256"/>
    <w:rsid w:val="00160C93"/>
    <w:rsid w:val="0016214E"/>
    <w:rsid w:val="001622EF"/>
    <w:rsid w:val="00163898"/>
    <w:rsid w:val="001649B1"/>
    <w:rsid w:val="001676D0"/>
    <w:rsid w:val="0017059B"/>
    <w:rsid w:val="00172F02"/>
    <w:rsid w:val="00174134"/>
    <w:rsid w:val="001766F5"/>
    <w:rsid w:val="0017719F"/>
    <w:rsid w:val="00177D13"/>
    <w:rsid w:val="00181B29"/>
    <w:rsid w:val="00182117"/>
    <w:rsid w:val="00182BCD"/>
    <w:rsid w:val="00182F10"/>
    <w:rsid w:val="00184ABD"/>
    <w:rsid w:val="00184D1B"/>
    <w:rsid w:val="00184F01"/>
    <w:rsid w:val="0018536C"/>
    <w:rsid w:val="001865FA"/>
    <w:rsid w:val="0018761B"/>
    <w:rsid w:val="001879D8"/>
    <w:rsid w:val="00191120"/>
    <w:rsid w:val="00191B32"/>
    <w:rsid w:val="00191C23"/>
    <w:rsid w:val="00192C5D"/>
    <w:rsid w:val="00193E65"/>
    <w:rsid w:val="0019435B"/>
    <w:rsid w:val="00195AF3"/>
    <w:rsid w:val="0019615B"/>
    <w:rsid w:val="001967DA"/>
    <w:rsid w:val="00196EB5"/>
    <w:rsid w:val="00197703"/>
    <w:rsid w:val="0019782C"/>
    <w:rsid w:val="00197BC6"/>
    <w:rsid w:val="001A16B5"/>
    <w:rsid w:val="001A1F46"/>
    <w:rsid w:val="001A280B"/>
    <w:rsid w:val="001A2D6A"/>
    <w:rsid w:val="001A510A"/>
    <w:rsid w:val="001A554B"/>
    <w:rsid w:val="001A60B7"/>
    <w:rsid w:val="001A7455"/>
    <w:rsid w:val="001B0B27"/>
    <w:rsid w:val="001B0B5B"/>
    <w:rsid w:val="001B2448"/>
    <w:rsid w:val="001B4DF0"/>
    <w:rsid w:val="001B4FC3"/>
    <w:rsid w:val="001B5DA3"/>
    <w:rsid w:val="001B5F0C"/>
    <w:rsid w:val="001B64CD"/>
    <w:rsid w:val="001C0F23"/>
    <w:rsid w:val="001C1223"/>
    <w:rsid w:val="001C40A8"/>
    <w:rsid w:val="001C5638"/>
    <w:rsid w:val="001C5A99"/>
    <w:rsid w:val="001D0640"/>
    <w:rsid w:val="001D0CC8"/>
    <w:rsid w:val="001D0E2F"/>
    <w:rsid w:val="001D1D8B"/>
    <w:rsid w:val="001D2476"/>
    <w:rsid w:val="001D2D78"/>
    <w:rsid w:val="001D41FC"/>
    <w:rsid w:val="001D569C"/>
    <w:rsid w:val="001D594E"/>
    <w:rsid w:val="001D5F0B"/>
    <w:rsid w:val="001D65B2"/>
    <w:rsid w:val="001D6D05"/>
    <w:rsid w:val="001E04E1"/>
    <w:rsid w:val="001E12A9"/>
    <w:rsid w:val="001E31DB"/>
    <w:rsid w:val="001E3FF3"/>
    <w:rsid w:val="001E5420"/>
    <w:rsid w:val="001E6E5F"/>
    <w:rsid w:val="001F1052"/>
    <w:rsid w:val="001F17B7"/>
    <w:rsid w:val="001F30C4"/>
    <w:rsid w:val="001F30DB"/>
    <w:rsid w:val="001F35D3"/>
    <w:rsid w:val="001F4084"/>
    <w:rsid w:val="001F44D2"/>
    <w:rsid w:val="001F4C3D"/>
    <w:rsid w:val="001F4CCA"/>
    <w:rsid w:val="001F4ED9"/>
    <w:rsid w:val="001F6C6F"/>
    <w:rsid w:val="001F79E9"/>
    <w:rsid w:val="00202308"/>
    <w:rsid w:val="00203086"/>
    <w:rsid w:val="0020383E"/>
    <w:rsid w:val="0020433C"/>
    <w:rsid w:val="00205579"/>
    <w:rsid w:val="00206DCF"/>
    <w:rsid w:val="002104BB"/>
    <w:rsid w:val="00210AB0"/>
    <w:rsid w:val="0021283A"/>
    <w:rsid w:val="00212F32"/>
    <w:rsid w:val="00214D7E"/>
    <w:rsid w:val="002155D4"/>
    <w:rsid w:val="002158EA"/>
    <w:rsid w:val="00215C1F"/>
    <w:rsid w:val="002229AF"/>
    <w:rsid w:val="00222F8A"/>
    <w:rsid w:val="00224101"/>
    <w:rsid w:val="002272C8"/>
    <w:rsid w:val="002278E5"/>
    <w:rsid w:val="00227DCB"/>
    <w:rsid w:val="0023028B"/>
    <w:rsid w:val="00231398"/>
    <w:rsid w:val="00231AA5"/>
    <w:rsid w:val="0023245F"/>
    <w:rsid w:val="00234494"/>
    <w:rsid w:val="002345BB"/>
    <w:rsid w:val="00235C6D"/>
    <w:rsid w:val="002363C8"/>
    <w:rsid w:val="002363CB"/>
    <w:rsid w:val="00236724"/>
    <w:rsid w:val="0023698E"/>
    <w:rsid w:val="00236C92"/>
    <w:rsid w:val="00237051"/>
    <w:rsid w:val="00240374"/>
    <w:rsid w:val="002409DD"/>
    <w:rsid w:val="00241081"/>
    <w:rsid w:val="00241BD0"/>
    <w:rsid w:val="00242E71"/>
    <w:rsid w:val="00243522"/>
    <w:rsid w:val="002444E1"/>
    <w:rsid w:val="00244A19"/>
    <w:rsid w:val="00245EE0"/>
    <w:rsid w:val="002470F1"/>
    <w:rsid w:val="0024797F"/>
    <w:rsid w:val="002501BE"/>
    <w:rsid w:val="00250F82"/>
    <w:rsid w:val="002539EA"/>
    <w:rsid w:val="00257AEC"/>
    <w:rsid w:val="0026015A"/>
    <w:rsid w:val="002606C0"/>
    <w:rsid w:val="0026165F"/>
    <w:rsid w:val="00264062"/>
    <w:rsid w:val="00264331"/>
    <w:rsid w:val="00264EF2"/>
    <w:rsid w:val="00267CDE"/>
    <w:rsid w:val="0027006A"/>
    <w:rsid w:val="00270AF4"/>
    <w:rsid w:val="00271FCC"/>
    <w:rsid w:val="0027264E"/>
    <w:rsid w:val="002726E0"/>
    <w:rsid w:val="002729DE"/>
    <w:rsid w:val="002733CA"/>
    <w:rsid w:val="00276BB8"/>
    <w:rsid w:val="00280C9E"/>
    <w:rsid w:val="00280E76"/>
    <w:rsid w:val="00280FE1"/>
    <w:rsid w:val="00281FA1"/>
    <w:rsid w:val="00282AD8"/>
    <w:rsid w:val="00283880"/>
    <w:rsid w:val="00283F08"/>
    <w:rsid w:val="00284A66"/>
    <w:rsid w:val="00285502"/>
    <w:rsid w:val="002863DD"/>
    <w:rsid w:val="00287645"/>
    <w:rsid w:val="00290918"/>
    <w:rsid w:val="00291AB6"/>
    <w:rsid w:val="0029246F"/>
    <w:rsid w:val="002924A4"/>
    <w:rsid w:val="0029490A"/>
    <w:rsid w:val="00294A2B"/>
    <w:rsid w:val="00295904"/>
    <w:rsid w:val="002960A5"/>
    <w:rsid w:val="00296707"/>
    <w:rsid w:val="00296924"/>
    <w:rsid w:val="00296FBE"/>
    <w:rsid w:val="00297041"/>
    <w:rsid w:val="002A0263"/>
    <w:rsid w:val="002A0A1C"/>
    <w:rsid w:val="002A1724"/>
    <w:rsid w:val="002A2416"/>
    <w:rsid w:val="002A2F41"/>
    <w:rsid w:val="002A4BE5"/>
    <w:rsid w:val="002A62C8"/>
    <w:rsid w:val="002A6558"/>
    <w:rsid w:val="002A65B8"/>
    <w:rsid w:val="002A6632"/>
    <w:rsid w:val="002A6B9C"/>
    <w:rsid w:val="002A7206"/>
    <w:rsid w:val="002A7E81"/>
    <w:rsid w:val="002B0CD2"/>
    <w:rsid w:val="002B1A8A"/>
    <w:rsid w:val="002B2A24"/>
    <w:rsid w:val="002B562C"/>
    <w:rsid w:val="002B6A5D"/>
    <w:rsid w:val="002B6FAB"/>
    <w:rsid w:val="002B7423"/>
    <w:rsid w:val="002C0C0C"/>
    <w:rsid w:val="002C24DD"/>
    <w:rsid w:val="002C253A"/>
    <w:rsid w:val="002C36B6"/>
    <w:rsid w:val="002C3CA0"/>
    <w:rsid w:val="002C407E"/>
    <w:rsid w:val="002C5A28"/>
    <w:rsid w:val="002C5E0E"/>
    <w:rsid w:val="002C6E95"/>
    <w:rsid w:val="002C73F8"/>
    <w:rsid w:val="002C78DC"/>
    <w:rsid w:val="002D016E"/>
    <w:rsid w:val="002D0AAE"/>
    <w:rsid w:val="002D0B96"/>
    <w:rsid w:val="002D144D"/>
    <w:rsid w:val="002D1A55"/>
    <w:rsid w:val="002D3233"/>
    <w:rsid w:val="002D32B7"/>
    <w:rsid w:val="002D4AE5"/>
    <w:rsid w:val="002D4B83"/>
    <w:rsid w:val="002D5379"/>
    <w:rsid w:val="002D571E"/>
    <w:rsid w:val="002D582A"/>
    <w:rsid w:val="002D60BF"/>
    <w:rsid w:val="002D7416"/>
    <w:rsid w:val="002D7DD0"/>
    <w:rsid w:val="002E10F7"/>
    <w:rsid w:val="002E1474"/>
    <w:rsid w:val="002E1B01"/>
    <w:rsid w:val="002E4EB5"/>
    <w:rsid w:val="002E52D1"/>
    <w:rsid w:val="002E7BCA"/>
    <w:rsid w:val="002F01F3"/>
    <w:rsid w:val="002F054D"/>
    <w:rsid w:val="002F0659"/>
    <w:rsid w:val="002F0875"/>
    <w:rsid w:val="002F0AA7"/>
    <w:rsid w:val="002F14C9"/>
    <w:rsid w:val="002F1917"/>
    <w:rsid w:val="002F37F1"/>
    <w:rsid w:val="002F4AA2"/>
    <w:rsid w:val="002F4E35"/>
    <w:rsid w:val="002F5555"/>
    <w:rsid w:val="002F66BF"/>
    <w:rsid w:val="002F67FF"/>
    <w:rsid w:val="002F741D"/>
    <w:rsid w:val="002F775D"/>
    <w:rsid w:val="002F78A5"/>
    <w:rsid w:val="003003E4"/>
    <w:rsid w:val="003025BA"/>
    <w:rsid w:val="00303194"/>
    <w:rsid w:val="00303748"/>
    <w:rsid w:val="00303A9D"/>
    <w:rsid w:val="00304A02"/>
    <w:rsid w:val="00306879"/>
    <w:rsid w:val="0030738C"/>
    <w:rsid w:val="00307707"/>
    <w:rsid w:val="00307708"/>
    <w:rsid w:val="00307D4A"/>
    <w:rsid w:val="003102FB"/>
    <w:rsid w:val="003106B2"/>
    <w:rsid w:val="00311532"/>
    <w:rsid w:val="0031184D"/>
    <w:rsid w:val="00311F16"/>
    <w:rsid w:val="00313899"/>
    <w:rsid w:val="00314CC6"/>
    <w:rsid w:val="00315CF1"/>
    <w:rsid w:val="0031668F"/>
    <w:rsid w:val="00316C52"/>
    <w:rsid w:val="00317CBB"/>
    <w:rsid w:val="00320904"/>
    <w:rsid w:val="00321981"/>
    <w:rsid w:val="00321CC9"/>
    <w:rsid w:val="003230FD"/>
    <w:rsid w:val="00324E46"/>
    <w:rsid w:val="00325DB1"/>
    <w:rsid w:val="00326F00"/>
    <w:rsid w:val="00327BDF"/>
    <w:rsid w:val="00327F51"/>
    <w:rsid w:val="00331D6D"/>
    <w:rsid w:val="00332036"/>
    <w:rsid w:val="003320E6"/>
    <w:rsid w:val="0033471B"/>
    <w:rsid w:val="0033490C"/>
    <w:rsid w:val="00335CF4"/>
    <w:rsid w:val="00335E9C"/>
    <w:rsid w:val="00336E95"/>
    <w:rsid w:val="003378E7"/>
    <w:rsid w:val="00337E43"/>
    <w:rsid w:val="0034076D"/>
    <w:rsid w:val="00340EAE"/>
    <w:rsid w:val="00342226"/>
    <w:rsid w:val="00343C43"/>
    <w:rsid w:val="003441CD"/>
    <w:rsid w:val="003451D6"/>
    <w:rsid w:val="003451E2"/>
    <w:rsid w:val="003460CB"/>
    <w:rsid w:val="0035034F"/>
    <w:rsid w:val="00351930"/>
    <w:rsid w:val="00352EEB"/>
    <w:rsid w:val="00353ECD"/>
    <w:rsid w:val="003549E0"/>
    <w:rsid w:val="003549F2"/>
    <w:rsid w:val="00355530"/>
    <w:rsid w:val="0035598C"/>
    <w:rsid w:val="0035626C"/>
    <w:rsid w:val="00357576"/>
    <w:rsid w:val="00361A6B"/>
    <w:rsid w:val="00361A80"/>
    <w:rsid w:val="0036297B"/>
    <w:rsid w:val="00362B6D"/>
    <w:rsid w:val="003636C9"/>
    <w:rsid w:val="00365BB8"/>
    <w:rsid w:val="00366BEB"/>
    <w:rsid w:val="00366F03"/>
    <w:rsid w:val="00366FCE"/>
    <w:rsid w:val="0036739D"/>
    <w:rsid w:val="00367895"/>
    <w:rsid w:val="00370479"/>
    <w:rsid w:val="0037149D"/>
    <w:rsid w:val="003724A5"/>
    <w:rsid w:val="00372E7C"/>
    <w:rsid w:val="003732E9"/>
    <w:rsid w:val="0037330E"/>
    <w:rsid w:val="00373A14"/>
    <w:rsid w:val="00373A67"/>
    <w:rsid w:val="00374157"/>
    <w:rsid w:val="00374F11"/>
    <w:rsid w:val="00375E1A"/>
    <w:rsid w:val="00377CAA"/>
    <w:rsid w:val="00377EC8"/>
    <w:rsid w:val="003812C6"/>
    <w:rsid w:val="00381D89"/>
    <w:rsid w:val="003824C3"/>
    <w:rsid w:val="00382809"/>
    <w:rsid w:val="00382884"/>
    <w:rsid w:val="00384230"/>
    <w:rsid w:val="0038469A"/>
    <w:rsid w:val="00385086"/>
    <w:rsid w:val="003864B0"/>
    <w:rsid w:val="003870FF"/>
    <w:rsid w:val="003872DC"/>
    <w:rsid w:val="00387609"/>
    <w:rsid w:val="00387E57"/>
    <w:rsid w:val="00391706"/>
    <w:rsid w:val="00391CDC"/>
    <w:rsid w:val="00392FC4"/>
    <w:rsid w:val="003946A4"/>
    <w:rsid w:val="0039532B"/>
    <w:rsid w:val="0039534C"/>
    <w:rsid w:val="00395C6F"/>
    <w:rsid w:val="00396A72"/>
    <w:rsid w:val="003977A1"/>
    <w:rsid w:val="0039783E"/>
    <w:rsid w:val="00397E0A"/>
    <w:rsid w:val="003A0046"/>
    <w:rsid w:val="003A0100"/>
    <w:rsid w:val="003A0B9B"/>
    <w:rsid w:val="003A13ED"/>
    <w:rsid w:val="003A4797"/>
    <w:rsid w:val="003A52A0"/>
    <w:rsid w:val="003A55BD"/>
    <w:rsid w:val="003B0770"/>
    <w:rsid w:val="003B08C0"/>
    <w:rsid w:val="003B0959"/>
    <w:rsid w:val="003B0DB3"/>
    <w:rsid w:val="003B0DB9"/>
    <w:rsid w:val="003B1593"/>
    <w:rsid w:val="003B17EC"/>
    <w:rsid w:val="003B1F86"/>
    <w:rsid w:val="003B24EE"/>
    <w:rsid w:val="003B2DD7"/>
    <w:rsid w:val="003B474C"/>
    <w:rsid w:val="003B4BF9"/>
    <w:rsid w:val="003B64F5"/>
    <w:rsid w:val="003B67AB"/>
    <w:rsid w:val="003C14A5"/>
    <w:rsid w:val="003C1A4F"/>
    <w:rsid w:val="003C1E59"/>
    <w:rsid w:val="003C1FF0"/>
    <w:rsid w:val="003C3645"/>
    <w:rsid w:val="003C5EF8"/>
    <w:rsid w:val="003C66DD"/>
    <w:rsid w:val="003C6998"/>
    <w:rsid w:val="003C70F2"/>
    <w:rsid w:val="003C7132"/>
    <w:rsid w:val="003D10F2"/>
    <w:rsid w:val="003D130E"/>
    <w:rsid w:val="003D2257"/>
    <w:rsid w:val="003D2FB7"/>
    <w:rsid w:val="003D329E"/>
    <w:rsid w:val="003D4805"/>
    <w:rsid w:val="003D4B2A"/>
    <w:rsid w:val="003D515C"/>
    <w:rsid w:val="003D54B6"/>
    <w:rsid w:val="003D59E4"/>
    <w:rsid w:val="003D5BF0"/>
    <w:rsid w:val="003D6374"/>
    <w:rsid w:val="003D6428"/>
    <w:rsid w:val="003D6EBB"/>
    <w:rsid w:val="003D706D"/>
    <w:rsid w:val="003D7ADF"/>
    <w:rsid w:val="003D7B76"/>
    <w:rsid w:val="003E0F56"/>
    <w:rsid w:val="003E339E"/>
    <w:rsid w:val="003E384F"/>
    <w:rsid w:val="003E3A12"/>
    <w:rsid w:val="003E3A86"/>
    <w:rsid w:val="003E3B96"/>
    <w:rsid w:val="003E5CC6"/>
    <w:rsid w:val="003E617A"/>
    <w:rsid w:val="003E6820"/>
    <w:rsid w:val="003E76FA"/>
    <w:rsid w:val="003E7733"/>
    <w:rsid w:val="003E7BE6"/>
    <w:rsid w:val="003E7F5E"/>
    <w:rsid w:val="003F0850"/>
    <w:rsid w:val="003F0D88"/>
    <w:rsid w:val="003F1B75"/>
    <w:rsid w:val="003F266F"/>
    <w:rsid w:val="003F4B33"/>
    <w:rsid w:val="003F4DB2"/>
    <w:rsid w:val="003F50AB"/>
    <w:rsid w:val="003F6CC5"/>
    <w:rsid w:val="003F6DF7"/>
    <w:rsid w:val="003F7EBB"/>
    <w:rsid w:val="004007CA"/>
    <w:rsid w:val="0040097A"/>
    <w:rsid w:val="004010C9"/>
    <w:rsid w:val="00401673"/>
    <w:rsid w:val="00402E6C"/>
    <w:rsid w:val="00403866"/>
    <w:rsid w:val="00403963"/>
    <w:rsid w:val="00404431"/>
    <w:rsid w:val="004059BA"/>
    <w:rsid w:val="00407292"/>
    <w:rsid w:val="004072B4"/>
    <w:rsid w:val="00410429"/>
    <w:rsid w:val="004110E6"/>
    <w:rsid w:val="0041233A"/>
    <w:rsid w:val="00413714"/>
    <w:rsid w:val="00413FE4"/>
    <w:rsid w:val="00414519"/>
    <w:rsid w:val="00414569"/>
    <w:rsid w:val="0041529D"/>
    <w:rsid w:val="004153BB"/>
    <w:rsid w:val="0041614D"/>
    <w:rsid w:val="004166FD"/>
    <w:rsid w:val="00416C45"/>
    <w:rsid w:val="00417A21"/>
    <w:rsid w:val="00417BC0"/>
    <w:rsid w:val="00420A26"/>
    <w:rsid w:val="00421BB6"/>
    <w:rsid w:val="004228C4"/>
    <w:rsid w:val="0042548E"/>
    <w:rsid w:val="004254FA"/>
    <w:rsid w:val="00425945"/>
    <w:rsid w:val="00426547"/>
    <w:rsid w:val="00427817"/>
    <w:rsid w:val="004302CD"/>
    <w:rsid w:val="00431565"/>
    <w:rsid w:val="004315FB"/>
    <w:rsid w:val="00431646"/>
    <w:rsid w:val="004322CF"/>
    <w:rsid w:val="00433793"/>
    <w:rsid w:val="00434DB6"/>
    <w:rsid w:val="0043531C"/>
    <w:rsid w:val="00435D60"/>
    <w:rsid w:val="00436BDF"/>
    <w:rsid w:val="00440C8D"/>
    <w:rsid w:val="0044125D"/>
    <w:rsid w:val="00441559"/>
    <w:rsid w:val="00442B24"/>
    <w:rsid w:val="00442D96"/>
    <w:rsid w:val="00443946"/>
    <w:rsid w:val="004444F8"/>
    <w:rsid w:val="00444AB6"/>
    <w:rsid w:val="00445A54"/>
    <w:rsid w:val="00445C0D"/>
    <w:rsid w:val="00445FBE"/>
    <w:rsid w:val="004465B7"/>
    <w:rsid w:val="00446872"/>
    <w:rsid w:val="00446AC6"/>
    <w:rsid w:val="00446EFC"/>
    <w:rsid w:val="00447653"/>
    <w:rsid w:val="00447C07"/>
    <w:rsid w:val="00447E77"/>
    <w:rsid w:val="0045099A"/>
    <w:rsid w:val="0045105A"/>
    <w:rsid w:val="00451D8F"/>
    <w:rsid w:val="00452707"/>
    <w:rsid w:val="00452F65"/>
    <w:rsid w:val="00454AFE"/>
    <w:rsid w:val="004566A8"/>
    <w:rsid w:val="00456BF1"/>
    <w:rsid w:val="00457487"/>
    <w:rsid w:val="00460193"/>
    <w:rsid w:val="00460470"/>
    <w:rsid w:val="0046113B"/>
    <w:rsid w:val="004620DA"/>
    <w:rsid w:val="004631C5"/>
    <w:rsid w:val="0046336D"/>
    <w:rsid w:val="00463BEE"/>
    <w:rsid w:val="004651E1"/>
    <w:rsid w:val="004656B3"/>
    <w:rsid w:val="00466477"/>
    <w:rsid w:val="0046651D"/>
    <w:rsid w:val="00466C13"/>
    <w:rsid w:val="00471BAE"/>
    <w:rsid w:val="004724BD"/>
    <w:rsid w:val="00472BD3"/>
    <w:rsid w:val="00474A66"/>
    <w:rsid w:val="00474D50"/>
    <w:rsid w:val="004770F6"/>
    <w:rsid w:val="00477258"/>
    <w:rsid w:val="00477D08"/>
    <w:rsid w:val="004809DC"/>
    <w:rsid w:val="00480E9F"/>
    <w:rsid w:val="004815F1"/>
    <w:rsid w:val="00481F0B"/>
    <w:rsid w:val="004846DB"/>
    <w:rsid w:val="00484A1F"/>
    <w:rsid w:val="004857C5"/>
    <w:rsid w:val="004866C4"/>
    <w:rsid w:val="00486E37"/>
    <w:rsid w:val="00487C48"/>
    <w:rsid w:val="00490B05"/>
    <w:rsid w:val="00490D3C"/>
    <w:rsid w:val="00490E37"/>
    <w:rsid w:val="00491162"/>
    <w:rsid w:val="00492B4A"/>
    <w:rsid w:val="00493007"/>
    <w:rsid w:val="0049430F"/>
    <w:rsid w:val="0049470A"/>
    <w:rsid w:val="00494C83"/>
    <w:rsid w:val="00494E0F"/>
    <w:rsid w:val="004950D5"/>
    <w:rsid w:val="00495A83"/>
    <w:rsid w:val="00497941"/>
    <w:rsid w:val="004A0081"/>
    <w:rsid w:val="004A0CF8"/>
    <w:rsid w:val="004A0CFD"/>
    <w:rsid w:val="004A188D"/>
    <w:rsid w:val="004A18A1"/>
    <w:rsid w:val="004A278E"/>
    <w:rsid w:val="004A3EEA"/>
    <w:rsid w:val="004A505F"/>
    <w:rsid w:val="004A5379"/>
    <w:rsid w:val="004A7060"/>
    <w:rsid w:val="004A7CD2"/>
    <w:rsid w:val="004B0862"/>
    <w:rsid w:val="004B0C25"/>
    <w:rsid w:val="004B12BF"/>
    <w:rsid w:val="004B14F7"/>
    <w:rsid w:val="004B1C74"/>
    <w:rsid w:val="004B2B58"/>
    <w:rsid w:val="004B3215"/>
    <w:rsid w:val="004B49EC"/>
    <w:rsid w:val="004B4CB3"/>
    <w:rsid w:val="004B5629"/>
    <w:rsid w:val="004B6159"/>
    <w:rsid w:val="004B62E7"/>
    <w:rsid w:val="004B6E47"/>
    <w:rsid w:val="004B740B"/>
    <w:rsid w:val="004C1126"/>
    <w:rsid w:val="004C20F4"/>
    <w:rsid w:val="004C296F"/>
    <w:rsid w:val="004C2BBD"/>
    <w:rsid w:val="004C3F2E"/>
    <w:rsid w:val="004C4293"/>
    <w:rsid w:val="004C5623"/>
    <w:rsid w:val="004C5A77"/>
    <w:rsid w:val="004C7213"/>
    <w:rsid w:val="004D062F"/>
    <w:rsid w:val="004D0920"/>
    <w:rsid w:val="004D105E"/>
    <w:rsid w:val="004D1332"/>
    <w:rsid w:val="004D1BE4"/>
    <w:rsid w:val="004D3475"/>
    <w:rsid w:val="004D35C3"/>
    <w:rsid w:val="004D3B9C"/>
    <w:rsid w:val="004D50E1"/>
    <w:rsid w:val="004D73AB"/>
    <w:rsid w:val="004E009C"/>
    <w:rsid w:val="004E0D85"/>
    <w:rsid w:val="004E2418"/>
    <w:rsid w:val="004E302B"/>
    <w:rsid w:val="004E394E"/>
    <w:rsid w:val="004E398D"/>
    <w:rsid w:val="004E42EF"/>
    <w:rsid w:val="004E51A1"/>
    <w:rsid w:val="004E57B6"/>
    <w:rsid w:val="004E77C0"/>
    <w:rsid w:val="004E7D70"/>
    <w:rsid w:val="004F0AF6"/>
    <w:rsid w:val="004F3AA2"/>
    <w:rsid w:val="004F4087"/>
    <w:rsid w:val="004F627F"/>
    <w:rsid w:val="004F6BE7"/>
    <w:rsid w:val="004F7554"/>
    <w:rsid w:val="004F7ADE"/>
    <w:rsid w:val="0050070C"/>
    <w:rsid w:val="005008F1"/>
    <w:rsid w:val="00500A84"/>
    <w:rsid w:val="00503F9E"/>
    <w:rsid w:val="00504931"/>
    <w:rsid w:val="005053A4"/>
    <w:rsid w:val="005054D6"/>
    <w:rsid w:val="00505519"/>
    <w:rsid w:val="00505623"/>
    <w:rsid w:val="00505AE3"/>
    <w:rsid w:val="00507AE8"/>
    <w:rsid w:val="00507F5D"/>
    <w:rsid w:val="00510023"/>
    <w:rsid w:val="00510557"/>
    <w:rsid w:val="005114E2"/>
    <w:rsid w:val="00512034"/>
    <w:rsid w:val="0051239C"/>
    <w:rsid w:val="00512725"/>
    <w:rsid w:val="00513B5F"/>
    <w:rsid w:val="00513E44"/>
    <w:rsid w:val="00514D78"/>
    <w:rsid w:val="0051508A"/>
    <w:rsid w:val="005155F6"/>
    <w:rsid w:val="005157D9"/>
    <w:rsid w:val="00515900"/>
    <w:rsid w:val="00515A7C"/>
    <w:rsid w:val="00516121"/>
    <w:rsid w:val="00516262"/>
    <w:rsid w:val="00516302"/>
    <w:rsid w:val="00517150"/>
    <w:rsid w:val="0051747A"/>
    <w:rsid w:val="0051782D"/>
    <w:rsid w:val="005208A2"/>
    <w:rsid w:val="005214E7"/>
    <w:rsid w:val="0052275F"/>
    <w:rsid w:val="0052354C"/>
    <w:rsid w:val="00523B9D"/>
    <w:rsid w:val="00524C61"/>
    <w:rsid w:val="005253D1"/>
    <w:rsid w:val="0052652E"/>
    <w:rsid w:val="005268FB"/>
    <w:rsid w:val="00527261"/>
    <w:rsid w:val="00527AAB"/>
    <w:rsid w:val="005304B4"/>
    <w:rsid w:val="00530DEF"/>
    <w:rsid w:val="00532B6A"/>
    <w:rsid w:val="00533382"/>
    <w:rsid w:val="00533946"/>
    <w:rsid w:val="005349F2"/>
    <w:rsid w:val="0053561B"/>
    <w:rsid w:val="0053784E"/>
    <w:rsid w:val="00540094"/>
    <w:rsid w:val="00540595"/>
    <w:rsid w:val="005439B9"/>
    <w:rsid w:val="00543A69"/>
    <w:rsid w:val="005442FE"/>
    <w:rsid w:val="00545213"/>
    <w:rsid w:val="00546C73"/>
    <w:rsid w:val="005472DD"/>
    <w:rsid w:val="005512DE"/>
    <w:rsid w:val="0055156C"/>
    <w:rsid w:val="00551886"/>
    <w:rsid w:val="00551AFF"/>
    <w:rsid w:val="00552B30"/>
    <w:rsid w:val="00552F2F"/>
    <w:rsid w:val="0055304F"/>
    <w:rsid w:val="005532A7"/>
    <w:rsid w:val="00553C3C"/>
    <w:rsid w:val="00554E7E"/>
    <w:rsid w:val="00555143"/>
    <w:rsid w:val="00555481"/>
    <w:rsid w:val="00555981"/>
    <w:rsid w:val="00556478"/>
    <w:rsid w:val="00556DCA"/>
    <w:rsid w:val="00557059"/>
    <w:rsid w:val="0055791B"/>
    <w:rsid w:val="00560A02"/>
    <w:rsid w:val="00561417"/>
    <w:rsid w:val="00561607"/>
    <w:rsid w:val="005622C4"/>
    <w:rsid w:val="00562CB0"/>
    <w:rsid w:val="005634A3"/>
    <w:rsid w:val="0056358B"/>
    <w:rsid w:val="00564059"/>
    <w:rsid w:val="00564733"/>
    <w:rsid w:val="00565825"/>
    <w:rsid w:val="00566157"/>
    <w:rsid w:val="00566A1F"/>
    <w:rsid w:val="00566FBF"/>
    <w:rsid w:val="00567021"/>
    <w:rsid w:val="0057075A"/>
    <w:rsid w:val="005723BB"/>
    <w:rsid w:val="00572F10"/>
    <w:rsid w:val="005735E0"/>
    <w:rsid w:val="00573920"/>
    <w:rsid w:val="00573AB4"/>
    <w:rsid w:val="00574158"/>
    <w:rsid w:val="005742FA"/>
    <w:rsid w:val="00574B53"/>
    <w:rsid w:val="00574F70"/>
    <w:rsid w:val="00575848"/>
    <w:rsid w:val="0057620F"/>
    <w:rsid w:val="00576D91"/>
    <w:rsid w:val="005770A7"/>
    <w:rsid w:val="00580554"/>
    <w:rsid w:val="00580683"/>
    <w:rsid w:val="00585A1A"/>
    <w:rsid w:val="00586432"/>
    <w:rsid w:val="005872CF"/>
    <w:rsid w:val="0058749A"/>
    <w:rsid w:val="005876ED"/>
    <w:rsid w:val="00587942"/>
    <w:rsid w:val="005933D1"/>
    <w:rsid w:val="005935E2"/>
    <w:rsid w:val="00593F72"/>
    <w:rsid w:val="00594336"/>
    <w:rsid w:val="00594389"/>
    <w:rsid w:val="005944D0"/>
    <w:rsid w:val="00595F26"/>
    <w:rsid w:val="0059606F"/>
    <w:rsid w:val="00597736"/>
    <w:rsid w:val="005A019C"/>
    <w:rsid w:val="005A0A17"/>
    <w:rsid w:val="005A1C4C"/>
    <w:rsid w:val="005A2FFA"/>
    <w:rsid w:val="005A30E7"/>
    <w:rsid w:val="005A31FC"/>
    <w:rsid w:val="005A5439"/>
    <w:rsid w:val="005A5B4B"/>
    <w:rsid w:val="005A5B71"/>
    <w:rsid w:val="005A67D0"/>
    <w:rsid w:val="005A68FF"/>
    <w:rsid w:val="005A6F96"/>
    <w:rsid w:val="005B0745"/>
    <w:rsid w:val="005B2F1D"/>
    <w:rsid w:val="005B3878"/>
    <w:rsid w:val="005B4A9E"/>
    <w:rsid w:val="005B62D9"/>
    <w:rsid w:val="005B6911"/>
    <w:rsid w:val="005B7135"/>
    <w:rsid w:val="005B7D15"/>
    <w:rsid w:val="005C04C0"/>
    <w:rsid w:val="005C1DE2"/>
    <w:rsid w:val="005C20B5"/>
    <w:rsid w:val="005C257B"/>
    <w:rsid w:val="005C280E"/>
    <w:rsid w:val="005C2ECA"/>
    <w:rsid w:val="005C38A8"/>
    <w:rsid w:val="005C4D1A"/>
    <w:rsid w:val="005C5779"/>
    <w:rsid w:val="005C5F23"/>
    <w:rsid w:val="005C6727"/>
    <w:rsid w:val="005C6C31"/>
    <w:rsid w:val="005C7A85"/>
    <w:rsid w:val="005C7FFD"/>
    <w:rsid w:val="005D0D72"/>
    <w:rsid w:val="005D2774"/>
    <w:rsid w:val="005D7009"/>
    <w:rsid w:val="005D7F2C"/>
    <w:rsid w:val="005E04EF"/>
    <w:rsid w:val="005E06DB"/>
    <w:rsid w:val="005E0C90"/>
    <w:rsid w:val="005E3677"/>
    <w:rsid w:val="005E452B"/>
    <w:rsid w:val="005E52A8"/>
    <w:rsid w:val="005E5DF7"/>
    <w:rsid w:val="005E5F2E"/>
    <w:rsid w:val="005E5F33"/>
    <w:rsid w:val="005E6C6B"/>
    <w:rsid w:val="005F1327"/>
    <w:rsid w:val="005F138E"/>
    <w:rsid w:val="005F161E"/>
    <w:rsid w:val="005F17B7"/>
    <w:rsid w:val="005F20BD"/>
    <w:rsid w:val="005F21A7"/>
    <w:rsid w:val="005F24FB"/>
    <w:rsid w:val="005F2A5D"/>
    <w:rsid w:val="005F2BB2"/>
    <w:rsid w:val="005F2D2B"/>
    <w:rsid w:val="005F3465"/>
    <w:rsid w:val="005F3A9F"/>
    <w:rsid w:val="005F4B80"/>
    <w:rsid w:val="005F4EBE"/>
    <w:rsid w:val="005F5DBC"/>
    <w:rsid w:val="005F67C7"/>
    <w:rsid w:val="005F6A7C"/>
    <w:rsid w:val="005F6BCD"/>
    <w:rsid w:val="005F6F33"/>
    <w:rsid w:val="005F74B0"/>
    <w:rsid w:val="005F7E87"/>
    <w:rsid w:val="006013FE"/>
    <w:rsid w:val="00601592"/>
    <w:rsid w:val="0060274E"/>
    <w:rsid w:val="00603227"/>
    <w:rsid w:val="00603473"/>
    <w:rsid w:val="0060364C"/>
    <w:rsid w:val="00604CA1"/>
    <w:rsid w:val="00604E67"/>
    <w:rsid w:val="0060651E"/>
    <w:rsid w:val="00607FD5"/>
    <w:rsid w:val="00610DD5"/>
    <w:rsid w:val="00613517"/>
    <w:rsid w:val="0061378E"/>
    <w:rsid w:val="00613A0F"/>
    <w:rsid w:val="0061408F"/>
    <w:rsid w:val="00614524"/>
    <w:rsid w:val="006156C9"/>
    <w:rsid w:val="00616D04"/>
    <w:rsid w:val="006175EF"/>
    <w:rsid w:val="00617880"/>
    <w:rsid w:val="00620312"/>
    <w:rsid w:val="00622063"/>
    <w:rsid w:val="0062237E"/>
    <w:rsid w:val="00622383"/>
    <w:rsid w:val="00623257"/>
    <w:rsid w:val="00623C17"/>
    <w:rsid w:val="00624C7B"/>
    <w:rsid w:val="00625CA8"/>
    <w:rsid w:val="00625D5E"/>
    <w:rsid w:val="00626243"/>
    <w:rsid w:val="00631BCD"/>
    <w:rsid w:val="00632031"/>
    <w:rsid w:val="00632192"/>
    <w:rsid w:val="0063340D"/>
    <w:rsid w:val="00633CF9"/>
    <w:rsid w:val="006341B2"/>
    <w:rsid w:val="006358E8"/>
    <w:rsid w:val="00640CAA"/>
    <w:rsid w:val="00642004"/>
    <w:rsid w:val="00642457"/>
    <w:rsid w:val="00643394"/>
    <w:rsid w:val="0064381B"/>
    <w:rsid w:val="0064384A"/>
    <w:rsid w:val="006441CF"/>
    <w:rsid w:val="006452F8"/>
    <w:rsid w:val="0064594E"/>
    <w:rsid w:val="006475C0"/>
    <w:rsid w:val="00647BD3"/>
    <w:rsid w:val="00650340"/>
    <w:rsid w:val="006516AB"/>
    <w:rsid w:val="00652387"/>
    <w:rsid w:val="0065468F"/>
    <w:rsid w:val="00654D74"/>
    <w:rsid w:val="006564D7"/>
    <w:rsid w:val="00657F11"/>
    <w:rsid w:val="00661404"/>
    <w:rsid w:val="00661518"/>
    <w:rsid w:val="00661529"/>
    <w:rsid w:val="00661892"/>
    <w:rsid w:val="0066194C"/>
    <w:rsid w:val="00661EED"/>
    <w:rsid w:val="00663A48"/>
    <w:rsid w:val="00663E0A"/>
    <w:rsid w:val="006673DB"/>
    <w:rsid w:val="006677F7"/>
    <w:rsid w:val="00671624"/>
    <w:rsid w:val="00672E1C"/>
    <w:rsid w:val="00672F8A"/>
    <w:rsid w:val="00673782"/>
    <w:rsid w:val="00673E22"/>
    <w:rsid w:val="006748A5"/>
    <w:rsid w:val="00674ECB"/>
    <w:rsid w:val="00674F7E"/>
    <w:rsid w:val="006761AD"/>
    <w:rsid w:val="0068076B"/>
    <w:rsid w:val="00681580"/>
    <w:rsid w:val="00681FA9"/>
    <w:rsid w:val="00682295"/>
    <w:rsid w:val="00682727"/>
    <w:rsid w:val="00682B8D"/>
    <w:rsid w:val="00682FE5"/>
    <w:rsid w:val="006831D3"/>
    <w:rsid w:val="00683E7C"/>
    <w:rsid w:val="00684BD8"/>
    <w:rsid w:val="00684D79"/>
    <w:rsid w:val="00685A27"/>
    <w:rsid w:val="0068638C"/>
    <w:rsid w:val="00686C79"/>
    <w:rsid w:val="00687F45"/>
    <w:rsid w:val="00690234"/>
    <w:rsid w:val="00690295"/>
    <w:rsid w:val="00690933"/>
    <w:rsid w:val="00693014"/>
    <w:rsid w:val="0069408B"/>
    <w:rsid w:val="00694377"/>
    <w:rsid w:val="00695800"/>
    <w:rsid w:val="00695F90"/>
    <w:rsid w:val="0069600B"/>
    <w:rsid w:val="0069649E"/>
    <w:rsid w:val="00697219"/>
    <w:rsid w:val="0069784B"/>
    <w:rsid w:val="00697903"/>
    <w:rsid w:val="006A0332"/>
    <w:rsid w:val="006A0C3E"/>
    <w:rsid w:val="006A1091"/>
    <w:rsid w:val="006A318E"/>
    <w:rsid w:val="006A3707"/>
    <w:rsid w:val="006A3AB2"/>
    <w:rsid w:val="006A3C76"/>
    <w:rsid w:val="006A3F35"/>
    <w:rsid w:val="006A3F91"/>
    <w:rsid w:val="006A4019"/>
    <w:rsid w:val="006A422F"/>
    <w:rsid w:val="006A5A89"/>
    <w:rsid w:val="006A6FB4"/>
    <w:rsid w:val="006A764D"/>
    <w:rsid w:val="006A7E79"/>
    <w:rsid w:val="006B0853"/>
    <w:rsid w:val="006B0B7C"/>
    <w:rsid w:val="006B0EBD"/>
    <w:rsid w:val="006B0EBE"/>
    <w:rsid w:val="006B312F"/>
    <w:rsid w:val="006B35AC"/>
    <w:rsid w:val="006B3B68"/>
    <w:rsid w:val="006B416C"/>
    <w:rsid w:val="006B5E96"/>
    <w:rsid w:val="006B6E2F"/>
    <w:rsid w:val="006C1019"/>
    <w:rsid w:val="006C1667"/>
    <w:rsid w:val="006C2B1F"/>
    <w:rsid w:val="006C2C9E"/>
    <w:rsid w:val="006C30AB"/>
    <w:rsid w:val="006C3663"/>
    <w:rsid w:val="006C4365"/>
    <w:rsid w:val="006C5201"/>
    <w:rsid w:val="006C5336"/>
    <w:rsid w:val="006C567F"/>
    <w:rsid w:val="006D014D"/>
    <w:rsid w:val="006D03D1"/>
    <w:rsid w:val="006D0BF1"/>
    <w:rsid w:val="006D0FCF"/>
    <w:rsid w:val="006D479F"/>
    <w:rsid w:val="006D5037"/>
    <w:rsid w:val="006D5C55"/>
    <w:rsid w:val="006D7310"/>
    <w:rsid w:val="006E197D"/>
    <w:rsid w:val="006E20A9"/>
    <w:rsid w:val="006E2148"/>
    <w:rsid w:val="006E2F27"/>
    <w:rsid w:val="006E3716"/>
    <w:rsid w:val="006E4766"/>
    <w:rsid w:val="006E5F1E"/>
    <w:rsid w:val="006E5FB0"/>
    <w:rsid w:val="006E727B"/>
    <w:rsid w:val="006F068B"/>
    <w:rsid w:val="006F2B44"/>
    <w:rsid w:val="006F306C"/>
    <w:rsid w:val="006F3DCB"/>
    <w:rsid w:val="006F520F"/>
    <w:rsid w:val="006F5275"/>
    <w:rsid w:val="006F6408"/>
    <w:rsid w:val="006F75DD"/>
    <w:rsid w:val="007000C8"/>
    <w:rsid w:val="0070037E"/>
    <w:rsid w:val="00700FB8"/>
    <w:rsid w:val="0070236F"/>
    <w:rsid w:val="007026AF"/>
    <w:rsid w:val="007026F6"/>
    <w:rsid w:val="00702EEF"/>
    <w:rsid w:val="007032DB"/>
    <w:rsid w:val="00703BEB"/>
    <w:rsid w:val="00704FFA"/>
    <w:rsid w:val="00705788"/>
    <w:rsid w:val="00705846"/>
    <w:rsid w:val="00705E23"/>
    <w:rsid w:val="007072E9"/>
    <w:rsid w:val="00710D64"/>
    <w:rsid w:val="00712691"/>
    <w:rsid w:val="0071314E"/>
    <w:rsid w:val="007134A5"/>
    <w:rsid w:val="00713568"/>
    <w:rsid w:val="00713BC6"/>
    <w:rsid w:val="00713D0F"/>
    <w:rsid w:val="00714155"/>
    <w:rsid w:val="00716255"/>
    <w:rsid w:val="007178DA"/>
    <w:rsid w:val="00717B9D"/>
    <w:rsid w:val="00717E7A"/>
    <w:rsid w:val="0072015C"/>
    <w:rsid w:val="007203F4"/>
    <w:rsid w:val="007208C5"/>
    <w:rsid w:val="00720C7F"/>
    <w:rsid w:val="00720DE0"/>
    <w:rsid w:val="00720F6B"/>
    <w:rsid w:val="00721C3A"/>
    <w:rsid w:val="00721DED"/>
    <w:rsid w:val="0072279B"/>
    <w:rsid w:val="007233C4"/>
    <w:rsid w:val="00724213"/>
    <w:rsid w:val="007243B9"/>
    <w:rsid w:val="007246D6"/>
    <w:rsid w:val="00724E1B"/>
    <w:rsid w:val="00725368"/>
    <w:rsid w:val="007254FA"/>
    <w:rsid w:val="00725BF7"/>
    <w:rsid w:val="00725C9C"/>
    <w:rsid w:val="007264A0"/>
    <w:rsid w:val="00726872"/>
    <w:rsid w:val="00726F2E"/>
    <w:rsid w:val="00730C16"/>
    <w:rsid w:val="007313BF"/>
    <w:rsid w:val="007332D5"/>
    <w:rsid w:val="0073413E"/>
    <w:rsid w:val="0073597A"/>
    <w:rsid w:val="00735E48"/>
    <w:rsid w:val="00736F9B"/>
    <w:rsid w:val="007374C5"/>
    <w:rsid w:val="007378B2"/>
    <w:rsid w:val="00740431"/>
    <w:rsid w:val="007406A6"/>
    <w:rsid w:val="0074090A"/>
    <w:rsid w:val="00742334"/>
    <w:rsid w:val="007424F4"/>
    <w:rsid w:val="00742EBF"/>
    <w:rsid w:val="00744A26"/>
    <w:rsid w:val="00744F15"/>
    <w:rsid w:val="00745596"/>
    <w:rsid w:val="007456A0"/>
    <w:rsid w:val="007467BC"/>
    <w:rsid w:val="007514C8"/>
    <w:rsid w:val="007515F7"/>
    <w:rsid w:val="00751D8B"/>
    <w:rsid w:val="00753038"/>
    <w:rsid w:val="00754E0F"/>
    <w:rsid w:val="00755A48"/>
    <w:rsid w:val="00755EDC"/>
    <w:rsid w:val="00756CF1"/>
    <w:rsid w:val="00756E7D"/>
    <w:rsid w:val="00761B5C"/>
    <w:rsid w:val="0076247B"/>
    <w:rsid w:val="0076260A"/>
    <w:rsid w:val="00762CB4"/>
    <w:rsid w:val="0076307D"/>
    <w:rsid w:val="00763203"/>
    <w:rsid w:val="00763F77"/>
    <w:rsid w:val="00764145"/>
    <w:rsid w:val="0076439D"/>
    <w:rsid w:val="007644F5"/>
    <w:rsid w:val="007656DA"/>
    <w:rsid w:val="00766676"/>
    <w:rsid w:val="0076740E"/>
    <w:rsid w:val="007674E2"/>
    <w:rsid w:val="007678A3"/>
    <w:rsid w:val="007715D6"/>
    <w:rsid w:val="00771EF1"/>
    <w:rsid w:val="00772813"/>
    <w:rsid w:val="00772F22"/>
    <w:rsid w:val="00772FEF"/>
    <w:rsid w:val="00773326"/>
    <w:rsid w:val="00773861"/>
    <w:rsid w:val="00774986"/>
    <w:rsid w:val="00780292"/>
    <w:rsid w:val="0078090B"/>
    <w:rsid w:val="00782BFB"/>
    <w:rsid w:val="007848DE"/>
    <w:rsid w:val="00785113"/>
    <w:rsid w:val="00785DD0"/>
    <w:rsid w:val="00786A84"/>
    <w:rsid w:val="00786B63"/>
    <w:rsid w:val="00787966"/>
    <w:rsid w:val="0079113F"/>
    <w:rsid w:val="007918E3"/>
    <w:rsid w:val="007924B8"/>
    <w:rsid w:val="00794B3A"/>
    <w:rsid w:val="00794BC5"/>
    <w:rsid w:val="007950C8"/>
    <w:rsid w:val="00795272"/>
    <w:rsid w:val="0079599B"/>
    <w:rsid w:val="00795B84"/>
    <w:rsid w:val="00797989"/>
    <w:rsid w:val="007A0A75"/>
    <w:rsid w:val="007A2804"/>
    <w:rsid w:val="007A2B86"/>
    <w:rsid w:val="007A2E3C"/>
    <w:rsid w:val="007A3D36"/>
    <w:rsid w:val="007A6253"/>
    <w:rsid w:val="007A734D"/>
    <w:rsid w:val="007B074A"/>
    <w:rsid w:val="007B2ED4"/>
    <w:rsid w:val="007B4330"/>
    <w:rsid w:val="007B4E45"/>
    <w:rsid w:val="007B58FA"/>
    <w:rsid w:val="007B5A22"/>
    <w:rsid w:val="007B5CA1"/>
    <w:rsid w:val="007B5E49"/>
    <w:rsid w:val="007B6554"/>
    <w:rsid w:val="007B7473"/>
    <w:rsid w:val="007C0DF8"/>
    <w:rsid w:val="007C1503"/>
    <w:rsid w:val="007C3A7C"/>
    <w:rsid w:val="007C7494"/>
    <w:rsid w:val="007D0C32"/>
    <w:rsid w:val="007D12FC"/>
    <w:rsid w:val="007D2486"/>
    <w:rsid w:val="007D24BA"/>
    <w:rsid w:val="007D38D1"/>
    <w:rsid w:val="007D3FD3"/>
    <w:rsid w:val="007D6BFF"/>
    <w:rsid w:val="007D7608"/>
    <w:rsid w:val="007D7DD1"/>
    <w:rsid w:val="007D7ED1"/>
    <w:rsid w:val="007E0C5A"/>
    <w:rsid w:val="007E0FA5"/>
    <w:rsid w:val="007E1604"/>
    <w:rsid w:val="007E18FC"/>
    <w:rsid w:val="007E2D61"/>
    <w:rsid w:val="007E3881"/>
    <w:rsid w:val="007E4835"/>
    <w:rsid w:val="007E5DA0"/>
    <w:rsid w:val="007E5F66"/>
    <w:rsid w:val="007E617E"/>
    <w:rsid w:val="007E6323"/>
    <w:rsid w:val="007E6A49"/>
    <w:rsid w:val="007E7D63"/>
    <w:rsid w:val="007F04F2"/>
    <w:rsid w:val="007F0B87"/>
    <w:rsid w:val="007F0E78"/>
    <w:rsid w:val="007F1FA9"/>
    <w:rsid w:val="007F2A15"/>
    <w:rsid w:val="007F3467"/>
    <w:rsid w:val="007F3A3E"/>
    <w:rsid w:val="007F47FE"/>
    <w:rsid w:val="007F4E62"/>
    <w:rsid w:val="007F51F3"/>
    <w:rsid w:val="007F55B3"/>
    <w:rsid w:val="007F7746"/>
    <w:rsid w:val="007F7C64"/>
    <w:rsid w:val="007F7EA8"/>
    <w:rsid w:val="00801D12"/>
    <w:rsid w:val="008028B0"/>
    <w:rsid w:val="00802B6D"/>
    <w:rsid w:val="00804543"/>
    <w:rsid w:val="008048FC"/>
    <w:rsid w:val="0080606B"/>
    <w:rsid w:val="00806223"/>
    <w:rsid w:val="008067E1"/>
    <w:rsid w:val="00806BF8"/>
    <w:rsid w:val="008104EE"/>
    <w:rsid w:val="00810CA0"/>
    <w:rsid w:val="00811121"/>
    <w:rsid w:val="008112BC"/>
    <w:rsid w:val="008113EA"/>
    <w:rsid w:val="00811542"/>
    <w:rsid w:val="00811FBF"/>
    <w:rsid w:val="00812454"/>
    <w:rsid w:val="00812A91"/>
    <w:rsid w:val="00814772"/>
    <w:rsid w:val="00815D02"/>
    <w:rsid w:val="008166FD"/>
    <w:rsid w:val="00816FBC"/>
    <w:rsid w:val="00817D2E"/>
    <w:rsid w:val="00820195"/>
    <w:rsid w:val="00820203"/>
    <w:rsid w:val="00820DF7"/>
    <w:rsid w:val="00820F8E"/>
    <w:rsid w:val="00821C4C"/>
    <w:rsid w:val="008228CE"/>
    <w:rsid w:val="008236FE"/>
    <w:rsid w:val="00823A02"/>
    <w:rsid w:val="008247AA"/>
    <w:rsid w:val="00824B35"/>
    <w:rsid w:val="00824FBB"/>
    <w:rsid w:val="008253C2"/>
    <w:rsid w:val="008274C1"/>
    <w:rsid w:val="00830627"/>
    <w:rsid w:val="0083083B"/>
    <w:rsid w:val="008323EE"/>
    <w:rsid w:val="00832D22"/>
    <w:rsid w:val="0083487D"/>
    <w:rsid w:val="00834B07"/>
    <w:rsid w:val="008358AF"/>
    <w:rsid w:val="008359DE"/>
    <w:rsid w:val="00836724"/>
    <w:rsid w:val="00837615"/>
    <w:rsid w:val="00837CFE"/>
    <w:rsid w:val="0084102C"/>
    <w:rsid w:val="0084263F"/>
    <w:rsid w:val="008434B8"/>
    <w:rsid w:val="00843A7C"/>
    <w:rsid w:val="00844227"/>
    <w:rsid w:val="00845DF6"/>
    <w:rsid w:val="00846F28"/>
    <w:rsid w:val="00847060"/>
    <w:rsid w:val="008478BE"/>
    <w:rsid w:val="00850542"/>
    <w:rsid w:val="00851575"/>
    <w:rsid w:val="0085227F"/>
    <w:rsid w:val="008535F4"/>
    <w:rsid w:val="00853B35"/>
    <w:rsid w:val="0085490A"/>
    <w:rsid w:val="0085548E"/>
    <w:rsid w:val="00856FC9"/>
    <w:rsid w:val="00857119"/>
    <w:rsid w:val="00862CBB"/>
    <w:rsid w:val="008631BD"/>
    <w:rsid w:val="008659B4"/>
    <w:rsid w:val="00866451"/>
    <w:rsid w:val="0086694E"/>
    <w:rsid w:val="00866C8C"/>
    <w:rsid w:val="008673EC"/>
    <w:rsid w:val="008676BA"/>
    <w:rsid w:val="00867C34"/>
    <w:rsid w:val="008708B3"/>
    <w:rsid w:val="008710DC"/>
    <w:rsid w:val="00871705"/>
    <w:rsid w:val="008719B5"/>
    <w:rsid w:val="00871CE3"/>
    <w:rsid w:val="00873845"/>
    <w:rsid w:val="00874D21"/>
    <w:rsid w:val="008753EC"/>
    <w:rsid w:val="00875451"/>
    <w:rsid w:val="008756BB"/>
    <w:rsid w:val="00875E65"/>
    <w:rsid w:val="008765A1"/>
    <w:rsid w:val="008801C1"/>
    <w:rsid w:val="00881061"/>
    <w:rsid w:val="0088163B"/>
    <w:rsid w:val="008835E2"/>
    <w:rsid w:val="00883F6A"/>
    <w:rsid w:val="0088408F"/>
    <w:rsid w:val="00884BC2"/>
    <w:rsid w:val="008871BD"/>
    <w:rsid w:val="008908F0"/>
    <w:rsid w:val="00890C7F"/>
    <w:rsid w:val="00890D12"/>
    <w:rsid w:val="00891236"/>
    <w:rsid w:val="00891284"/>
    <w:rsid w:val="00891D3C"/>
    <w:rsid w:val="00895EE5"/>
    <w:rsid w:val="008A06BF"/>
    <w:rsid w:val="008A0836"/>
    <w:rsid w:val="008A0990"/>
    <w:rsid w:val="008A0C95"/>
    <w:rsid w:val="008A1E99"/>
    <w:rsid w:val="008A36BD"/>
    <w:rsid w:val="008A6EC2"/>
    <w:rsid w:val="008A747E"/>
    <w:rsid w:val="008A74A7"/>
    <w:rsid w:val="008B250C"/>
    <w:rsid w:val="008B2828"/>
    <w:rsid w:val="008B29F6"/>
    <w:rsid w:val="008B2A58"/>
    <w:rsid w:val="008B3818"/>
    <w:rsid w:val="008B3BFD"/>
    <w:rsid w:val="008B3CC0"/>
    <w:rsid w:val="008B432B"/>
    <w:rsid w:val="008B455B"/>
    <w:rsid w:val="008B4F99"/>
    <w:rsid w:val="008B5297"/>
    <w:rsid w:val="008B54AC"/>
    <w:rsid w:val="008B615F"/>
    <w:rsid w:val="008B6CF5"/>
    <w:rsid w:val="008B7F0E"/>
    <w:rsid w:val="008C07CD"/>
    <w:rsid w:val="008C0FA9"/>
    <w:rsid w:val="008C14C6"/>
    <w:rsid w:val="008C1DAA"/>
    <w:rsid w:val="008C297E"/>
    <w:rsid w:val="008C2C33"/>
    <w:rsid w:val="008C384B"/>
    <w:rsid w:val="008C4652"/>
    <w:rsid w:val="008C46BC"/>
    <w:rsid w:val="008C6F2C"/>
    <w:rsid w:val="008C7FBA"/>
    <w:rsid w:val="008D1257"/>
    <w:rsid w:val="008D176F"/>
    <w:rsid w:val="008D2A7B"/>
    <w:rsid w:val="008D2F46"/>
    <w:rsid w:val="008D34E9"/>
    <w:rsid w:val="008D3B1E"/>
    <w:rsid w:val="008D3DFC"/>
    <w:rsid w:val="008D4324"/>
    <w:rsid w:val="008D71F2"/>
    <w:rsid w:val="008D79AE"/>
    <w:rsid w:val="008D7EDF"/>
    <w:rsid w:val="008E1498"/>
    <w:rsid w:val="008E193B"/>
    <w:rsid w:val="008E1E8D"/>
    <w:rsid w:val="008E2B5D"/>
    <w:rsid w:val="008E3895"/>
    <w:rsid w:val="008E40EE"/>
    <w:rsid w:val="008E429A"/>
    <w:rsid w:val="008E46C7"/>
    <w:rsid w:val="008E4DD8"/>
    <w:rsid w:val="008E5179"/>
    <w:rsid w:val="008E5490"/>
    <w:rsid w:val="008E5A1A"/>
    <w:rsid w:val="008E68F6"/>
    <w:rsid w:val="008E6A17"/>
    <w:rsid w:val="008E7D25"/>
    <w:rsid w:val="008F1461"/>
    <w:rsid w:val="008F1FA8"/>
    <w:rsid w:val="008F252C"/>
    <w:rsid w:val="008F28F0"/>
    <w:rsid w:val="008F296C"/>
    <w:rsid w:val="008F2C64"/>
    <w:rsid w:val="008F33B0"/>
    <w:rsid w:val="008F5559"/>
    <w:rsid w:val="008F5B70"/>
    <w:rsid w:val="008F6C45"/>
    <w:rsid w:val="008F78FB"/>
    <w:rsid w:val="00900A02"/>
    <w:rsid w:val="00900D9D"/>
    <w:rsid w:val="0090195A"/>
    <w:rsid w:val="00903BA1"/>
    <w:rsid w:val="0090489A"/>
    <w:rsid w:val="00906CDB"/>
    <w:rsid w:val="00907821"/>
    <w:rsid w:val="009110AB"/>
    <w:rsid w:val="009110E5"/>
    <w:rsid w:val="009111D8"/>
    <w:rsid w:val="00912916"/>
    <w:rsid w:val="00914897"/>
    <w:rsid w:val="00915AA4"/>
    <w:rsid w:val="00915BF0"/>
    <w:rsid w:val="00916BB4"/>
    <w:rsid w:val="00917866"/>
    <w:rsid w:val="00917EEF"/>
    <w:rsid w:val="009200DE"/>
    <w:rsid w:val="00920915"/>
    <w:rsid w:val="009211EE"/>
    <w:rsid w:val="00922DAE"/>
    <w:rsid w:val="009241E4"/>
    <w:rsid w:val="009244C6"/>
    <w:rsid w:val="00925857"/>
    <w:rsid w:val="0092650B"/>
    <w:rsid w:val="00926567"/>
    <w:rsid w:val="0092728C"/>
    <w:rsid w:val="00930226"/>
    <w:rsid w:val="00930781"/>
    <w:rsid w:val="0093161F"/>
    <w:rsid w:val="00931966"/>
    <w:rsid w:val="00932714"/>
    <w:rsid w:val="00932790"/>
    <w:rsid w:val="00932D16"/>
    <w:rsid w:val="00933C7D"/>
    <w:rsid w:val="00936174"/>
    <w:rsid w:val="00936CDE"/>
    <w:rsid w:val="00940609"/>
    <w:rsid w:val="00941FA3"/>
    <w:rsid w:val="00942113"/>
    <w:rsid w:val="00942334"/>
    <w:rsid w:val="00942F09"/>
    <w:rsid w:val="00942F39"/>
    <w:rsid w:val="009431C0"/>
    <w:rsid w:val="009436D6"/>
    <w:rsid w:val="00943B42"/>
    <w:rsid w:val="00944223"/>
    <w:rsid w:val="00945225"/>
    <w:rsid w:val="00945815"/>
    <w:rsid w:val="00946396"/>
    <w:rsid w:val="00946C34"/>
    <w:rsid w:val="00947622"/>
    <w:rsid w:val="00950218"/>
    <w:rsid w:val="009511BA"/>
    <w:rsid w:val="009518C4"/>
    <w:rsid w:val="009527EA"/>
    <w:rsid w:val="009528C5"/>
    <w:rsid w:val="00953343"/>
    <w:rsid w:val="00954979"/>
    <w:rsid w:val="009552F6"/>
    <w:rsid w:val="00955FBE"/>
    <w:rsid w:val="009608EA"/>
    <w:rsid w:val="009614CD"/>
    <w:rsid w:val="00961568"/>
    <w:rsid w:val="0096205D"/>
    <w:rsid w:val="00962871"/>
    <w:rsid w:val="00963072"/>
    <w:rsid w:val="0096484A"/>
    <w:rsid w:val="0096546E"/>
    <w:rsid w:val="009654E5"/>
    <w:rsid w:val="00965796"/>
    <w:rsid w:val="00965B2C"/>
    <w:rsid w:val="00967C14"/>
    <w:rsid w:val="00967DE2"/>
    <w:rsid w:val="00970714"/>
    <w:rsid w:val="00971C39"/>
    <w:rsid w:val="00972829"/>
    <w:rsid w:val="00972F41"/>
    <w:rsid w:val="00974BAB"/>
    <w:rsid w:val="00975E8F"/>
    <w:rsid w:val="00976810"/>
    <w:rsid w:val="00976DB6"/>
    <w:rsid w:val="00976DFD"/>
    <w:rsid w:val="00976E79"/>
    <w:rsid w:val="00977955"/>
    <w:rsid w:val="00980001"/>
    <w:rsid w:val="009801E5"/>
    <w:rsid w:val="00980B13"/>
    <w:rsid w:val="00981177"/>
    <w:rsid w:val="00981512"/>
    <w:rsid w:val="00983305"/>
    <w:rsid w:val="009839A9"/>
    <w:rsid w:val="00984023"/>
    <w:rsid w:val="00984A35"/>
    <w:rsid w:val="00984AC8"/>
    <w:rsid w:val="0098664A"/>
    <w:rsid w:val="00986FBF"/>
    <w:rsid w:val="009871CF"/>
    <w:rsid w:val="00987645"/>
    <w:rsid w:val="0099063D"/>
    <w:rsid w:val="00993F2A"/>
    <w:rsid w:val="0099439C"/>
    <w:rsid w:val="00994AD6"/>
    <w:rsid w:val="00994D9A"/>
    <w:rsid w:val="009956F1"/>
    <w:rsid w:val="00996AD5"/>
    <w:rsid w:val="00996F6C"/>
    <w:rsid w:val="00997005"/>
    <w:rsid w:val="00997201"/>
    <w:rsid w:val="009973E9"/>
    <w:rsid w:val="00997822"/>
    <w:rsid w:val="009A033C"/>
    <w:rsid w:val="009A0B2C"/>
    <w:rsid w:val="009A0BDE"/>
    <w:rsid w:val="009A1374"/>
    <w:rsid w:val="009A1462"/>
    <w:rsid w:val="009A2F4F"/>
    <w:rsid w:val="009A30F1"/>
    <w:rsid w:val="009A379B"/>
    <w:rsid w:val="009A4B17"/>
    <w:rsid w:val="009A4F22"/>
    <w:rsid w:val="009A50F0"/>
    <w:rsid w:val="009A527D"/>
    <w:rsid w:val="009A52C4"/>
    <w:rsid w:val="009A6ECC"/>
    <w:rsid w:val="009A767C"/>
    <w:rsid w:val="009A7A35"/>
    <w:rsid w:val="009A7DE5"/>
    <w:rsid w:val="009B328E"/>
    <w:rsid w:val="009B4384"/>
    <w:rsid w:val="009B6400"/>
    <w:rsid w:val="009B70FF"/>
    <w:rsid w:val="009B780C"/>
    <w:rsid w:val="009B788F"/>
    <w:rsid w:val="009C0054"/>
    <w:rsid w:val="009C0108"/>
    <w:rsid w:val="009C0DF3"/>
    <w:rsid w:val="009C1D38"/>
    <w:rsid w:val="009C1DA0"/>
    <w:rsid w:val="009C2213"/>
    <w:rsid w:val="009C39AA"/>
    <w:rsid w:val="009C47FD"/>
    <w:rsid w:val="009C4F3E"/>
    <w:rsid w:val="009C4FDF"/>
    <w:rsid w:val="009C5C64"/>
    <w:rsid w:val="009C726F"/>
    <w:rsid w:val="009D26BA"/>
    <w:rsid w:val="009D2723"/>
    <w:rsid w:val="009D2C91"/>
    <w:rsid w:val="009D3495"/>
    <w:rsid w:val="009D35A2"/>
    <w:rsid w:val="009D3C33"/>
    <w:rsid w:val="009D4227"/>
    <w:rsid w:val="009D470E"/>
    <w:rsid w:val="009D6479"/>
    <w:rsid w:val="009D7726"/>
    <w:rsid w:val="009E03C2"/>
    <w:rsid w:val="009E0BD8"/>
    <w:rsid w:val="009E0D03"/>
    <w:rsid w:val="009E1C33"/>
    <w:rsid w:val="009E2186"/>
    <w:rsid w:val="009E27A2"/>
    <w:rsid w:val="009E33F7"/>
    <w:rsid w:val="009E3D47"/>
    <w:rsid w:val="009E7AD7"/>
    <w:rsid w:val="009F1ED0"/>
    <w:rsid w:val="009F2783"/>
    <w:rsid w:val="009F2CD4"/>
    <w:rsid w:val="009F2EAD"/>
    <w:rsid w:val="009F344D"/>
    <w:rsid w:val="009F4678"/>
    <w:rsid w:val="009F58FD"/>
    <w:rsid w:val="009F5ADB"/>
    <w:rsid w:val="009F69DB"/>
    <w:rsid w:val="009F7478"/>
    <w:rsid w:val="00A002DC"/>
    <w:rsid w:val="00A0059A"/>
    <w:rsid w:val="00A0123A"/>
    <w:rsid w:val="00A01F78"/>
    <w:rsid w:val="00A020D3"/>
    <w:rsid w:val="00A02695"/>
    <w:rsid w:val="00A03DC0"/>
    <w:rsid w:val="00A0419E"/>
    <w:rsid w:val="00A054C7"/>
    <w:rsid w:val="00A05A96"/>
    <w:rsid w:val="00A0670C"/>
    <w:rsid w:val="00A067E0"/>
    <w:rsid w:val="00A068F7"/>
    <w:rsid w:val="00A07C05"/>
    <w:rsid w:val="00A11503"/>
    <w:rsid w:val="00A11C68"/>
    <w:rsid w:val="00A142AE"/>
    <w:rsid w:val="00A14D2A"/>
    <w:rsid w:val="00A160EA"/>
    <w:rsid w:val="00A16A97"/>
    <w:rsid w:val="00A178EE"/>
    <w:rsid w:val="00A205F7"/>
    <w:rsid w:val="00A2094D"/>
    <w:rsid w:val="00A20FB8"/>
    <w:rsid w:val="00A2123B"/>
    <w:rsid w:val="00A2189F"/>
    <w:rsid w:val="00A21E0B"/>
    <w:rsid w:val="00A21E97"/>
    <w:rsid w:val="00A24C3F"/>
    <w:rsid w:val="00A25803"/>
    <w:rsid w:val="00A26D27"/>
    <w:rsid w:val="00A279F6"/>
    <w:rsid w:val="00A30922"/>
    <w:rsid w:val="00A32E6E"/>
    <w:rsid w:val="00A344CC"/>
    <w:rsid w:val="00A34813"/>
    <w:rsid w:val="00A34C95"/>
    <w:rsid w:val="00A351DF"/>
    <w:rsid w:val="00A37DC8"/>
    <w:rsid w:val="00A40A87"/>
    <w:rsid w:val="00A40B57"/>
    <w:rsid w:val="00A40E22"/>
    <w:rsid w:val="00A412BA"/>
    <w:rsid w:val="00A4185A"/>
    <w:rsid w:val="00A4198F"/>
    <w:rsid w:val="00A423F2"/>
    <w:rsid w:val="00A42CB9"/>
    <w:rsid w:val="00A454FC"/>
    <w:rsid w:val="00A47F99"/>
    <w:rsid w:val="00A501EF"/>
    <w:rsid w:val="00A5031B"/>
    <w:rsid w:val="00A50DC0"/>
    <w:rsid w:val="00A50F3F"/>
    <w:rsid w:val="00A51E0D"/>
    <w:rsid w:val="00A52A7A"/>
    <w:rsid w:val="00A531CB"/>
    <w:rsid w:val="00A53D4D"/>
    <w:rsid w:val="00A5498F"/>
    <w:rsid w:val="00A552DC"/>
    <w:rsid w:val="00A56404"/>
    <w:rsid w:val="00A5649B"/>
    <w:rsid w:val="00A56AC7"/>
    <w:rsid w:val="00A56D07"/>
    <w:rsid w:val="00A57B86"/>
    <w:rsid w:val="00A57C77"/>
    <w:rsid w:val="00A62054"/>
    <w:rsid w:val="00A62499"/>
    <w:rsid w:val="00A63A1D"/>
    <w:rsid w:val="00A63F8F"/>
    <w:rsid w:val="00A6427F"/>
    <w:rsid w:val="00A6577E"/>
    <w:rsid w:val="00A65C81"/>
    <w:rsid w:val="00A65FAA"/>
    <w:rsid w:val="00A6607B"/>
    <w:rsid w:val="00A70884"/>
    <w:rsid w:val="00A70890"/>
    <w:rsid w:val="00A70A3E"/>
    <w:rsid w:val="00A71437"/>
    <w:rsid w:val="00A71A0A"/>
    <w:rsid w:val="00A72725"/>
    <w:rsid w:val="00A72CB1"/>
    <w:rsid w:val="00A7428E"/>
    <w:rsid w:val="00A750B3"/>
    <w:rsid w:val="00A76021"/>
    <w:rsid w:val="00A762D9"/>
    <w:rsid w:val="00A76817"/>
    <w:rsid w:val="00A76FFE"/>
    <w:rsid w:val="00A776B4"/>
    <w:rsid w:val="00A80636"/>
    <w:rsid w:val="00A80C0D"/>
    <w:rsid w:val="00A80E87"/>
    <w:rsid w:val="00A81EBC"/>
    <w:rsid w:val="00A84B30"/>
    <w:rsid w:val="00A84CC1"/>
    <w:rsid w:val="00A84E7C"/>
    <w:rsid w:val="00A854AE"/>
    <w:rsid w:val="00A85810"/>
    <w:rsid w:val="00A85CC3"/>
    <w:rsid w:val="00A8653D"/>
    <w:rsid w:val="00A865C7"/>
    <w:rsid w:val="00A8674F"/>
    <w:rsid w:val="00A87E5E"/>
    <w:rsid w:val="00A87F46"/>
    <w:rsid w:val="00A9049B"/>
    <w:rsid w:val="00A905B2"/>
    <w:rsid w:val="00A90A88"/>
    <w:rsid w:val="00A9129E"/>
    <w:rsid w:val="00A923A8"/>
    <w:rsid w:val="00A92802"/>
    <w:rsid w:val="00A92A26"/>
    <w:rsid w:val="00A9344A"/>
    <w:rsid w:val="00A93C92"/>
    <w:rsid w:val="00A96E04"/>
    <w:rsid w:val="00A97B70"/>
    <w:rsid w:val="00AA0423"/>
    <w:rsid w:val="00AA0F9A"/>
    <w:rsid w:val="00AA17F7"/>
    <w:rsid w:val="00AA2428"/>
    <w:rsid w:val="00AA303D"/>
    <w:rsid w:val="00AA3758"/>
    <w:rsid w:val="00AA3D86"/>
    <w:rsid w:val="00AA44CC"/>
    <w:rsid w:val="00AA5209"/>
    <w:rsid w:val="00AA6072"/>
    <w:rsid w:val="00AA7A4B"/>
    <w:rsid w:val="00AA7E0E"/>
    <w:rsid w:val="00AB0833"/>
    <w:rsid w:val="00AB08EC"/>
    <w:rsid w:val="00AB117E"/>
    <w:rsid w:val="00AB172A"/>
    <w:rsid w:val="00AB295C"/>
    <w:rsid w:val="00AB415E"/>
    <w:rsid w:val="00AB4177"/>
    <w:rsid w:val="00AB4CD3"/>
    <w:rsid w:val="00AB5509"/>
    <w:rsid w:val="00AB5B5B"/>
    <w:rsid w:val="00AB5DF1"/>
    <w:rsid w:val="00AB6394"/>
    <w:rsid w:val="00AB70C1"/>
    <w:rsid w:val="00AB74FD"/>
    <w:rsid w:val="00AC02BB"/>
    <w:rsid w:val="00AC0E90"/>
    <w:rsid w:val="00AC18E0"/>
    <w:rsid w:val="00AC2F88"/>
    <w:rsid w:val="00AC37B2"/>
    <w:rsid w:val="00AC38E7"/>
    <w:rsid w:val="00AC3B67"/>
    <w:rsid w:val="00AC3D98"/>
    <w:rsid w:val="00AC3E88"/>
    <w:rsid w:val="00AC4484"/>
    <w:rsid w:val="00AC5B3A"/>
    <w:rsid w:val="00AD14CD"/>
    <w:rsid w:val="00AD2809"/>
    <w:rsid w:val="00AD29D3"/>
    <w:rsid w:val="00AD36CD"/>
    <w:rsid w:val="00AD3A5D"/>
    <w:rsid w:val="00AD4FE2"/>
    <w:rsid w:val="00AD5C54"/>
    <w:rsid w:val="00AD6D76"/>
    <w:rsid w:val="00AE002C"/>
    <w:rsid w:val="00AE064F"/>
    <w:rsid w:val="00AE069D"/>
    <w:rsid w:val="00AE08AA"/>
    <w:rsid w:val="00AE0F1C"/>
    <w:rsid w:val="00AE1C5B"/>
    <w:rsid w:val="00AE2C91"/>
    <w:rsid w:val="00AE41F8"/>
    <w:rsid w:val="00AE5C8E"/>
    <w:rsid w:val="00AE5F27"/>
    <w:rsid w:val="00AE7CBA"/>
    <w:rsid w:val="00AF118A"/>
    <w:rsid w:val="00AF15C4"/>
    <w:rsid w:val="00AF160E"/>
    <w:rsid w:val="00AF209C"/>
    <w:rsid w:val="00AF268A"/>
    <w:rsid w:val="00AF2C07"/>
    <w:rsid w:val="00AF2D57"/>
    <w:rsid w:val="00AF3A92"/>
    <w:rsid w:val="00AF4849"/>
    <w:rsid w:val="00AF56FF"/>
    <w:rsid w:val="00AF5788"/>
    <w:rsid w:val="00AF7066"/>
    <w:rsid w:val="00AF7267"/>
    <w:rsid w:val="00B000F7"/>
    <w:rsid w:val="00B005C1"/>
    <w:rsid w:val="00B00902"/>
    <w:rsid w:val="00B009E0"/>
    <w:rsid w:val="00B01586"/>
    <w:rsid w:val="00B01A8D"/>
    <w:rsid w:val="00B02477"/>
    <w:rsid w:val="00B034ED"/>
    <w:rsid w:val="00B03FF5"/>
    <w:rsid w:val="00B04010"/>
    <w:rsid w:val="00B045F2"/>
    <w:rsid w:val="00B04B34"/>
    <w:rsid w:val="00B064B2"/>
    <w:rsid w:val="00B075C6"/>
    <w:rsid w:val="00B077EB"/>
    <w:rsid w:val="00B1022C"/>
    <w:rsid w:val="00B10903"/>
    <w:rsid w:val="00B11EE4"/>
    <w:rsid w:val="00B12514"/>
    <w:rsid w:val="00B1338B"/>
    <w:rsid w:val="00B1572E"/>
    <w:rsid w:val="00B166FC"/>
    <w:rsid w:val="00B16EFB"/>
    <w:rsid w:val="00B17C83"/>
    <w:rsid w:val="00B20DA8"/>
    <w:rsid w:val="00B2196D"/>
    <w:rsid w:val="00B21E3E"/>
    <w:rsid w:val="00B22AE5"/>
    <w:rsid w:val="00B22CA3"/>
    <w:rsid w:val="00B23D99"/>
    <w:rsid w:val="00B25882"/>
    <w:rsid w:val="00B26228"/>
    <w:rsid w:val="00B26F2F"/>
    <w:rsid w:val="00B26FFC"/>
    <w:rsid w:val="00B275DB"/>
    <w:rsid w:val="00B27741"/>
    <w:rsid w:val="00B30797"/>
    <w:rsid w:val="00B318C0"/>
    <w:rsid w:val="00B31DDD"/>
    <w:rsid w:val="00B33FDB"/>
    <w:rsid w:val="00B344D1"/>
    <w:rsid w:val="00B4005D"/>
    <w:rsid w:val="00B40AC1"/>
    <w:rsid w:val="00B4384D"/>
    <w:rsid w:val="00B43BCC"/>
    <w:rsid w:val="00B45EA1"/>
    <w:rsid w:val="00B46272"/>
    <w:rsid w:val="00B46653"/>
    <w:rsid w:val="00B46B84"/>
    <w:rsid w:val="00B46D42"/>
    <w:rsid w:val="00B478AE"/>
    <w:rsid w:val="00B47F1A"/>
    <w:rsid w:val="00B5079A"/>
    <w:rsid w:val="00B50DE4"/>
    <w:rsid w:val="00B51ECF"/>
    <w:rsid w:val="00B52036"/>
    <w:rsid w:val="00B52056"/>
    <w:rsid w:val="00B534E6"/>
    <w:rsid w:val="00B54390"/>
    <w:rsid w:val="00B55340"/>
    <w:rsid w:val="00B55EFC"/>
    <w:rsid w:val="00B564A3"/>
    <w:rsid w:val="00B56580"/>
    <w:rsid w:val="00B56A4E"/>
    <w:rsid w:val="00B57DFA"/>
    <w:rsid w:val="00B62793"/>
    <w:rsid w:val="00B63028"/>
    <w:rsid w:val="00B63CA4"/>
    <w:rsid w:val="00B63F23"/>
    <w:rsid w:val="00B65B60"/>
    <w:rsid w:val="00B66978"/>
    <w:rsid w:val="00B70066"/>
    <w:rsid w:val="00B7016F"/>
    <w:rsid w:val="00B71B1A"/>
    <w:rsid w:val="00B7231D"/>
    <w:rsid w:val="00B76634"/>
    <w:rsid w:val="00B773EB"/>
    <w:rsid w:val="00B80AB9"/>
    <w:rsid w:val="00B80DEF"/>
    <w:rsid w:val="00B8291F"/>
    <w:rsid w:val="00B82B02"/>
    <w:rsid w:val="00B83DB7"/>
    <w:rsid w:val="00B86F32"/>
    <w:rsid w:val="00B879F5"/>
    <w:rsid w:val="00B87C61"/>
    <w:rsid w:val="00B92714"/>
    <w:rsid w:val="00B9315F"/>
    <w:rsid w:val="00B9362D"/>
    <w:rsid w:val="00B937F6"/>
    <w:rsid w:val="00B942DD"/>
    <w:rsid w:val="00B9482F"/>
    <w:rsid w:val="00B96021"/>
    <w:rsid w:val="00B96734"/>
    <w:rsid w:val="00B970A6"/>
    <w:rsid w:val="00B97198"/>
    <w:rsid w:val="00B97952"/>
    <w:rsid w:val="00B97AA8"/>
    <w:rsid w:val="00BA0B8A"/>
    <w:rsid w:val="00BA0EC9"/>
    <w:rsid w:val="00BA1476"/>
    <w:rsid w:val="00BA1915"/>
    <w:rsid w:val="00BA1DBA"/>
    <w:rsid w:val="00BA3256"/>
    <w:rsid w:val="00BA3E26"/>
    <w:rsid w:val="00BA4EA7"/>
    <w:rsid w:val="00BA5741"/>
    <w:rsid w:val="00BA6840"/>
    <w:rsid w:val="00BB0414"/>
    <w:rsid w:val="00BB0D0A"/>
    <w:rsid w:val="00BB1622"/>
    <w:rsid w:val="00BB1C49"/>
    <w:rsid w:val="00BB41F0"/>
    <w:rsid w:val="00BB48B0"/>
    <w:rsid w:val="00BB4B65"/>
    <w:rsid w:val="00BB4BA6"/>
    <w:rsid w:val="00BB5A22"/>
    <w:rsid w:val="00BB611F"/>
    <w:rsid w:val="00BB6C95"/>
    <w:rsid w:val="00BC11A9"/>
    <w:rsid w:val="00BC1214"/>
    <w:rsid w:val="00BC2F28"/>
    <w:rsid w:val="00BC35B7"/>
    <w:rsid w:val="00BC454B"/>
    <w:rsid w:val="00BC4DBE"/>
    <w:rsid w:val="00BC5C7E"/>
    <w:rsid w:val="00BC5C9D"/>
    <w:rsid w:val="00BC6223"/>
    <w:rsid w:val="00BC6F4F"/>
    <w:rsid w:val="00BC7145"/>
    <w:rsid w:val="00BC7ADB"/>
    <w:rsid w:val="00BD1EF0"/>
    <w:rsid w:val="00BD3982"/>
    <w:rsid w:val="00BD3A59"/>
    <w:rsid w:val="00BD50F9"/>
    <w:rsid w:val="00BD608A"/>
    <w:rsid w:val="00BE1287"/>
    <w:rsid w:val="00BE1B6D"/>
    <w:rsid w:val="00BE23A2"/>
    <w:rsid w:val="00BE2C35"/>
    <w:rsid w:val="00BE4B3E"/>
    <w:rsid w:val="00BE67BD"/>
    <w:rsid w:val="00BE680B"/>
    <w:rsid w:val="00BE6E1E"/>
    <w:rsid w:val="00BE6E3F"/>
    <w:rsid w:val="00BE78FE"/>
    <w:rsid w:val="00BE7969"/>
    <w:rsid w:val="00BF0252"/>
    <w:rsid w:val="00BF0660"/>
    <w:rsid w:val="00BF27A7"/>
    <w:rsid w:val="00BF3C8F"/>
    <w:rsid w:val="00BF48C8"/>
    <w:rsid w:val="00BF4E91"/>
    <w:rsid w:val="00BF4FA3"/>
    <w:rsid w:val="00BF502E"/>
    <w:rsid w:val="00BF5217"/>
    <w:rsid w:val="00BF535F"/>
    <w:rsid w:val="00BF5581"/>
    <w:rsid w:val="00BF6CB5"/>
    <w:rsid w:val="00BF6F78"/>
    <w:rsid w:val="00BF772B"/>
    <w:rsid w:val="00BF7B2B"/>
    <w:rsid w:val="00C03486"/>
    <w:rsid w:val="00C0350C"/>
    <w:rsid w:val="00C04442"/>
    <w:rsid w:val="00C04522"/>
    <w:rsid w:val="00C04699"/>
    <w:rsid w:val="00C04B35"/>
    <w:rsid w:val="00C0653C"/>
    <w:rsid w:val="00C06FE2"/>
    <w:rsid w:val="00C07466"/>
    <w:rsid w:val="00C10131"/>
    <w:rsid w:val="00C109A3"/>
    <w:rsid w:val="00C11F0A"/>
    <w:rsid w:val="00C11FDA"/>
    <w:rsid w:val="00C129A6"/>
    <w:rsid w:val="00C1355A"/>
    <w:rsid w:val="00C13D2B"/>
    <w:rsid w:val="00C15EA2"/>
    <w:rsid w:val="00C160DE"/>
    <w:rsid w:val="00C1634C"/>
    <w:rsid w:val="00C16EE0"/>
    <w:rsid w:val="00C1765F"/>
    <w:rsid w:val="00C17B13"/>
    <w:rsid w:val="00C17C6B"/>
    <w:rsid w:val="00C20A1F"/>
    <w:rsid w:val="00C213DF"/>
    <w:rsid w:val="00C218A7"/>
    <w:rsid w:val="00C21F86"/>
    <w:rsid w:val="00C22188"/>
    <w:rsid w:val="00C221C7"/>
    <w:rsid w:val="00C225EA"/>
    <w:rsid w:val="00C23FD1"/>
    <w:rsid w:val="00C246BA"/>
    <w:rsid w:val="00C2530D"/>
    <w:rsid w:val="00C25C21"/>
    <w:rsid w:val="00C27032"/>
    <w:rsid w:val="00C271F6"/>
    <w:rsid w:val="00C2720E"/>
    <w:rsid w:val="00C27454"/>
    <w:rsid w:val="00C279D2"/>
    <w:rsid w:val="00C30F1B"/>
    <w:rsid w:val="00C32029"/>
    <w:rsid w:val="00C32171"/>
    <w:rsid w:val="00C32A06"/>
    <w:rsid w:val="00C33210"/>
    <w:rsid w:val="00C338BF"/>
    <w:rsid w:val="00C355AF"/>
    <w:rsid w:val="00C3615F"/>
    <w:rsid w:val="00C36378"/>
    <w:rsid w:val="00C40417"/>
    <w:rsid w:val="00C40C4F"/>
    <w:rsid w:val="00C412AC"/>
    <w:rsid w:val="00C419B2"/>
    <w:rsid w:val="00C42ED7"/>
    <w:rsid w:val="00C44B29"/>
    <w:rsid w:val="00C4556B"/>
    <w:rsid w:val="00C4571B"/>
    <w:rsid w:val="00C46D4B"/>
    <w:rsid w:val="00C47BAE"/>
    <w:rsid w:val="00C500CC"/>
    <w:rsid w:val="00C506D6"/>
    <w:rsid w:val="00C50E01"/>
    <w:rsid w:val="00C519A0"/>
    <w:rsid w:val="00C51F90"/>
    <w:rsid w:val="00C52642"/>
    <w:rsid w:val="00C526F9"/>
    <w:rsid w:val="00C52DEC"/>
    <w:rsid w:val="00C5348B"/>
    <w:rsid w:val="00C536C4"/>
    <w:rsid w:val="00C53978"/>
    <w:rsid w:val="00C53BDC"/>
    <w:rsid w:val="00C56D5D"/>
    <w:rsid w:val="00C57857"/>
    <w:rsid w:val="00C60058"/>
    <w:rsid w:val="00C61902"/>
    <w:rsid w:val="00C62E68"/>
    <w:rsid w:val="00C62FEB"/>
    <w:rsid w:val="00C63015"/>
    <w:rsid w:val="00C63210"/>
    <w:rsid w:val="00C63E2F"/>
    <w:rsid w:val="00C6448E"/>
    <w:rsid w:val="00C646C9"/>
    <w:rsid w:val="00C656E3"/>
    <w:rsid w:val="00C665DF"/>
    <w:rsid w:val="00C66B77"/>
    <w:rsid w:val="00C67551"/>
    <w:rsid w:val="00C708D5"/>
    <w:rsid w:val="00C72E38"/>
    <w:rsid w:val="00C7323A"/>
    <w:rsid w:val="00C74CF0"/>
    <w:rsid w:val="00C751AF"/>
    <w:rsid w:val="00C75C32"/>
    <w:rsid w:val="00C762A2"/>
    <w:rsid w:val="00C77FDB"/>
    <w:rsid w:val="00C80B2C"/>
    <w:rsid w:val="00C80F61"/>
    <w:rsid w:val="00C81601"/>
    <w:rsid w:val="00C81A4D"/>
    <w:rsid w:val="00C81ACA"/>
    <w:rsid w:val="00C82F85"/>
    <w:rsid w:val="00C8327E"/>
    <w:rsid w:val="00C83EEB"/>
    <w:rsid w:val="00C84140"/>
    <w:rsid w:val="00C8414C"/>
    <w:rsid w:val="00C84AE6"/>
    <w:rsid w:val="00C852D8"/>
    <w:rsid w:val="00C90B42"/>
    <w:rsid w:val="00C91D36"/>
    <w:rsid w:val="00C92223"/>
    <w:rsid w:val="00C9312F"/>
    <w:rsid w:val="00C944D4"/>
    <w:rsid w:val="00C94B38"/>
    <w:rsid w:val="00C94BB2"/>
    <w:rsid w:val="00C95DE4"/>
    <w:rsid w:val="00C96A21"/>
    <w:rsid w:val="00CA03EF"/>
    <w:rsid w:val="00CA1470"/>
    <w:rsid w:val="00CA18A9"/>
    <w:rsid w:val="00CA3195"/>
    <w:rsid w:val="00CA434C"/>
    <w:rsid w:val="00CA68C0"/>
    <w:rsid w:val="00CA6BB4"/>
    <w:rsid w:val="00CA73EC"/>
    <w:rsid w:val="00CA7737"/>
    <w:rsid w:val="00CB04B2"/>
    <w:rsid w:val="00CB076F"/>
    <w:rsid w:val="00CB0F8D"/>
    <w:rsid w:val="00CB255A"/>
    <w:rsid w:val="00CB2C22"/>
    <w:rsid w:val="00CB3CC7"/>
    <w:rsid w:val="00CB44AB"/>
    <w:rsid w:val="00CB4FDA"/>
    <w:rsid w:val="00CB518E"/>
    <w:rsid w:val="00CB59ED"/>
    <w:rsid w:val="00CC09C9"/>
    <w:rsid w:val="00CC1346"/>
    <w:rsid w:val="00CC1E5E"/>
    <w:rsid w:val="00CC258A"/>
    <w:rsid w:val="00CC2AB2"/>
    <w:rsid w:val="00CC3EC8"/>
    <w:rsid w:val="00CC4A54"/>
    <w:rsid w:val="00CC511D"/>
    <w:rsid w:val="00CC65BF"/>
    <w:rsid w:val="00CC7624"/>
    <w:rsid w:val="00CC7E2A"/>
    <w:rsid w:val="00CD0BEC"/>
    <w:rsid w:val="00CD1522"/>
    <w:rsid w:val="00CD2432"/>
    <w:rsid w:val="00CD2FDC"/>
    <w:rsid w:val="00CD35F8"/>
    <w:rsid w:val="00CD4A9B"/>
    <w:rsid w:val="00CD4B7D"/>
    <w:rsid w:val="00CD4D01"/>
    <w:rsid w:val="00CD50E3"/>
    <w:rsid w:val="00CD50F1"/>
    <w:rsid w:val="00CD5C17"/>
    <w:rsid w:val="00CD7366"/>
    <w:rsid w:val="00CE1440"/>
    <w:rsid w:val="00CE1C73"/>
    <w:rsid w:val="00CE1C85"/>
    <w:rsid w:val="00CE21CA"/>
    <w:rsid w:val="00CE24B7"/>
    <w:rsid w:val="00CE2AD2"/>
    <w:rsid w:val="00CE3640"/>
    <w:rsid w:val="00CE3C05"/>
    <w:rsid w:val="00CE4759"/>
    <w:rsid w:val="00CE72B2"/>
    <w:rsid w:val="00CE78F1"/>
    <w:rsid w:val="00CF098E"/>
    <w:rsid w:val="00CF102E"/>
    <w:rsid w:val="00CF2289"/>
    <w:rsid w:val="00CF3186"/>
    <w:rsid w:val="00CF3367"/>
    <w:rsid w:val="00CF3471"/>
    <w:rsid w:val="00CF4805"/>
    <w:rsid w:val="00CF49C3"/>
    <w:rsid w:val="00CF4C10"/>
    <w:rsid w:val="00CF4D19"/>
    <w:rsid w:val="00CF5EB1"/>
    <w:rsid w:val="00CF6223"/>
    <w:rsid w:val="00CF67F8"/>
    <w:rsid w:val="00CF7343"/>
    <w:rsid w:val="00CF7AE3"/>
    <w:rsid w:val="00D000F4"/>
    <w:rsid w:val="00D012D9"/>
    <w:rsid w:val="00D02176"/>
    <w:rsid w:val="00D022E0"/>
    <w:rsid w:val="00D02ECA"/>
    <w:rsid w:val="00D0353E"/>
    <w:rsid w:val="00D042B5"/>
    <w:rsid w:val="00D06D0B"/>
    <w:rsid w:val="00D06DCC"/>
    <w:rsid w:val="00D10785"/>
    <w:rsid w:val="00D10E4C"/>
    <w:rsid w:val="00D124B8"/>
    <w:rsid w:val="00D126C6"/>
    <w:rsid w:val="00D134E9"/>
    <w:rsid w:val="00D1373D"/>
    <w:rsid w:val="00D14F19"/>
    <w:rsid w:val="00D155EC"/>
    <w:rsid w:val="00D16D07"/>
    <w:rsid w:val="00D17AC6"/>
    <w:rsid w:val="00D208C5"/>
    <w:rsid w:val="00D216EC"/>
    <w:rsid w:val="00D21AB4"/>
    <w:rsid w:val="00D21B24"/>
    <w:rsid w:val="00D2222F"/>
    <w:rsid w:val="00D22B38"/>
    <w:rsid w:val="00D22DD1"/>
    <w:rsid w:val="00D2351E"/>
    <w:rsid w:val="00D25823"/>
    <w:rsid w:val="00D262CE"/>
    <w:rsid w:val="00D268E3"/>
    <w:rsid w:val="00D26D8A"/>
    <w:rsid w:val="00D26E0A"/>
    <w:rsid w:val="00D26EE1"/>
    <w:rsid w:val="00D27E23"/>
    <w:rsid w:val="00D3143F"/>
    <w:rsid w:val="00D32A41"/>
    <w:rsid w:val="00D33C54"/>
    <w:rsid w:val="00D33EFC"/>
    <w:rsid w:val="00D33F3C"/>
    <w:rsid w:val="00D3545D"/>
    <w:rsid w:val="00D37198"/>
    <w:rsid w:val="00D40589"/>
    <w:rsid w:val="00D40683"/>
    <w:rsid w:val="00D407CC"/>
    <w:rsid w:val="00D40B89"/>
    <w:rsid w:val="00D40CF8"/>
    <w:rsid w:val="00D42B97"/>
    <w:rsid w:val="00D431B6"/>
    <w:rsid w:val="00D43B17"/>
    <w:rsid w:val="00D44B23"/>
    <w:rsid w:val="00D458C7"/>
    <w:rsid w:val="00D45C6C"/>
    <w:rsid w:val="00D47337"/>
    <w:rsid w:val="00D47B3A"/>
    <w:rsid w:val="00D501A8"/>
    <w:rsid w:val="00D51910"/>
    <w:rsid w:val="00D54851"/>
    <w:rsid w:val="00D54A42"/>
    <w:rsid w:val="00D56207"/>
    <w:rsid w:val="00D567FD"/>
    <w:rsid w:val="00D57994"/>
    <w:rsid w:val="00D623D6"/>
    <w:rsid w:val="00D63095"/>
    <w:rsid w:val="00D63513"/>
    <w:rsid w:val="00D65DB0"/>
    <w:rsid w:val="00D675FF"/>
    <w:rsid w:val="00D67894"/>
    <w:rsid w:val="00D70D7C"/>
    <w:rsid w:val="00D71AAB"/>
    <w:rsid w:val="00D72A00"/>
    <w:rsid w:val="00D72B53"/>
    <w:rsid w:val="00D74235"/>
    <w:rsid w:val="00D75079"/>
    <w:rsid w:val="00D7615C"/>
    <w:rsid w:val="00D77126"/>
    <w:rsid w:val="00D80608"/>
    <w:rsid w:val="00D8081B"/>
    <w:rsid w:val="00D80F52"/>
    <w:rsid w:val="00D81073"/>
    <w:rsid w:val="00D81F3F"/>
    <w:rsid w:val="00D829F4"/>
    <w:rsid w:val="00D8542E"/>
    <w:rsid w:val="00D857F4"/>
    <w:rsid w:val="00D866F6"/>
    <w:rsid w:val="00D8780C"/>
    <w:rsid w:val="00D879C9"/>
    <w:rsid w:val="00D87B4F"/>
    <w:rsid w:val="00D917CF"/>
    <w:rsid w:val="00D91D4F"/>
    <w:rsid w:val="00D92203"/>
    <w:rsid w:val="00D9225B"/>
    <w:rsid w:val="00D9273B"/>
    <w:rsid w:val="00D9346C"/>
    <w:rsid w:val="00D936AA"/>
    <w:rsid w:val="00D95786"/>
    <w:rsid w:val="00D964CA"/>
    <w:rsid w:val="00D96D5B"/>
    <w:rsid w:val="00D96D5C"/>
    <w:rsid w:val="00D973BF"/>
    <w:rsid w:val="00D9750F"/>
    <w:rsid w:val="00D97D4C"/>
    <w:rsid w:val="00DA0A3A"/>
    <w:rsid w:val="00DA14C9"/>
    <w:rsid w:val="00DA3B41"/>
    <w:rsid w:val="00DA3C05"/>
    <w:rsid w:val="00DA3DBF"/>
    <w:rsid w:val="00DA4D37"/>
    <w:rsid w:val="00DA5AAD"/>
    <w:rsid w:val="00DA748F"/>
    <w:rsid w:val="00DA78D8"/>
    <w:rsid w:val="00DB00B0"/>
    <w:rsid w:val="00DB065A"/>
    <w:rsid w:val="00DB0D0D"/>
    <w:rsid w:val="00DB1ADC"/>
    <w:rsid w:val="00DB2FF4"/>
    <w:rsid w:val="00DB3054"/>
    <w:rsid w:val="00DB362A"/>
    <w:rsid w:val="00DB38A1"/>
    <w:rsid w:val="00DB3B0F"/>
    <w:rsid w:val="00DB3B36"/>
    <w:rsid w:val="00DB3B9A"/>
    <w:rsid w:val="00DB3FC8"/>
    <w:rsid w:val="00DB4241"/>
    <w:rsid w:val="00DB5098"/>
    <w:rsid w:val="00DB5259"/>
    <w:rsid w:val="00DB64A3"/>
    <w:rsid w:val="00DB675A"/>
    <w:rsid w:val="00DB6D0B"/>
    <w:rsid w:val="00DB7DF3"/>
    <w:rsid w:val="00DC2A5E"/>
    <w:rsid w:val="00DC4926"/>
    <w:rsid w:val="00DC54D4"/>
    <w:rsid w:val="00DC5C3D"/>
    <w:rsid w:val="00DC5D23"/>
    <w:rsid w:val="00DC5F55"/>
    <w:rsid w:val="00DD0F42"/>
    <w:rsid w:val="00DD1222"/>
    <w:rsid w:val="00DD138C"/>
    <w:rsid w:val="00DD1497"/>
    <w:rsid w:val="00DD172E"/>
    <w:rsid w:val="00DD1A25"/>
    <w:rsid w:val="00DD1CF3"/>
    <w:rsid w:val="00DD1EF7"/>
    <w:rsid w:val="00DD23B3"/>
    <w:rsid w:val="00DD2507"/>
    <w:rsid w:val="00DD260A"/>
    <w:rsid w:val="00DD26D4"/>
    <w:rsid w:val="00DD31DE"/>
    <w:rsid w:val="00DD386F"/>
    <w:rsid w:val="00DD3E83"/>
    <w:rsid w:val="00DD41BB"/>
    <w:rsid w:val="00DD4BB5"/>
    <w:rsid w:val="00DD4E12"/>
    <w:rsid w:val="00DD5904"/>
    <w:rsid w:val="00DD6C27"/>
    <w:rsid w:val="00DE0CC0"/>
    <w:rsid w:val="00DE113F"/>
    <w:rsid w:val="00DE2961"/>
    <w:rsid w:val="00DE3CF4"/>
    <w:rsid w:val="00DE3D5A"/>
    <w:rsid w:val="00DE4B5D"/>
    <w:rsid w:val="00DE52A2"/>
    <w:rsid w:val="00DE5305"/>
    <w:rsid w:val="00DE5B73"/>
    <w:rsid w:val="00DE6389"/>
    <w:rsid w:val="00DE75EA"/>
    <w:rsid w:val="00DE7650"/>
    <w:rsid w:val="00DE7877"/>
    <w:rsid w:val="00DE79F4"/>
    <w:rsid w:val="00DF0101"/>
    <w:rsid w:val="00DF448F"/>
    <w:rsid w:val="00DF4708"/>
    <w:rsid w:val="00DF50A6"/>
    <w:rsid w:val="00DF55E9"/>
    <w:rsid w:val="00DF6079"/>
    <w:rsid w:val="00DF69E0"/>
    <w:rsid w:val="00DF7EC9"/>
    <w:rsid w:val="00DF7EE0"/>
    <w:rsid w:val="00E008D6"/>
    <w:rsid w:val="00E009CA"/>
    <w:rsid w:val="00E02731"/>
    <w:rsid w:val="00E02F5D"/>
    <w:rsid w:val="00E03175"/>
    <w:rsid w:val="00E03988"/>
    <w:rsid w:val="00E04739"/>
    <w:rsid w:val="00E07CA8"/>
    <w:rsid w:val="00E10679"/>
    <w:rsid w:val="00E10B99"/>
    <w:rsid w:val="00E10C9D"/>
    <w:rsid w:val="00E110C4"/>
    <w:rsid w:val="00E11477"/>
    <w:rsid w:val="00E115B8"/>
    <w:rsid w:val="00E11AF2"/>
    <w:rsid w:val="00E12D68"/>
    <w:rsid w:val="00E14441"/>
    <w:rsid w:val="00E150C4"/>
    <w:rsid w:val="00E157D8"/>
    <w:rsid w:val="00E1584A"/>
    <w:rsid w:val="00E15A33"/>
    <w:rsid w:val="00E16411"/>
    <w:rsid w:val="00E16431"/>
    <w:rsid w:val="00E16620"/>
    <w:rsid w:val="00E16682"/>
    <w:rsid w:val="00E17A91"/>
    <w:rsid w:val="00E20753"/>
    <w:rsid w:val="00E216C3"/>
    <w:rsid w:val="00E22DB0"/>
    <w:rsid w:val="00E2321C"/>
    <w:rsid w:val="00E23475"/>
    <w:rsid w:val="00E2428B"/>
    <w:rsid w:val="00E24503"/>
    <w:rsid w:val="00E26E9B"/>
    <w:rsid w:val="00E27808"/>
    <w:rsid w:val="00E278A2"/>
    <w:rsid w:val="00E30C38"/>
    <w:rsid w:val="00E30CB9"/>
    <w:rsid w:val="00E30D73"/>
    <w:rsid w:val="00E30EC1"/>
    <w:rsid w:val="00E33F6A"/>
    <w:rsid w:val="00E34D9E"/>
    <w:rsid w:val="00E3675A"/>
    <w:rsid w:val="00E37C66"/>
    <w:rsid w:val="00E40395"/>
    <w:rsid w:val="00E4166F"/>
    <w:rsid w:val="00E420EC"/>
    <w:rsid w:val="00E4256B"/>
    <w:rsid w:val="00E42C24"/>
    <w:rsid w:val="00E42CC1"/>
    <w:rsid w:val="00E43093"/>
    <w:rsid w:val="00E45F5B"/>
    <w:rsid w:val="00E463C4"/>
    <w:rsid w:val="00E47320"/>
    <w:rsid w:val="00E473C2"/>
    <w:rsid w:val="00E50DF5"/>
    <w:rsid w:val="00E51131"/>
    <w:rsid w:val="00E51F7C"/>
    <w:rsid w:val="00E531F1"/>
    <w:rsid w:val="00E538AF"/>
    <w:rsid w:val="00E54899"/>
    <w:rsid w:val="00E54C0E"/>
    <w:rsid w:val="00E550AF"/>
    <w:rsid w:val="00E554FE"/>
    <w:rsid w:val="00E55974"/>
    <w:rsid w:val="00E5597D"/>
    <w:rsid w:val="00E5658A"/>
    <w:rsid w:val="00E56A30"/>
    <w:rsid w:val="00E576B9"/>
    <w:rsid w:val="00E57A07"/>
    <w:rsid w:val="00E607FC"/>
    <w:rsid w:val="00E629E0"/>
    <w:rsid w:val="00E62A0D"/>
    <w:rsid w:val="00E630D8"/>
    <w:rsid w:val="00E63417"/>
    <w:rsid w:val="00E63A07"/>
    <w:rsid w:val="00E63C74"/>
    <w:rsid w:val="00E65E68"/>
    <w:rsid w:val="00E6636E"/>
    <w:rsid w:val="00E66E31"/>
    <w:rsid w:val="00E67FF3"/>
    <w:rsid w:val="00E70E9E"/>
    <w:rsid w:val="00E7171D"/>
    <w:rsid w:val="00E72BEB"/>
    <w:rsid w:val="00E73A25"/>
    <w:rsid w:val="00E7639C"/>
    <w:rsid w:val="00E767F5"/>
    <w:rsid w:val="00E76970"/>
    <w:rsid w:val="00E77C29"/>
    <w:rsid w:val="00E80A6D"/>
    <w:rsid w:val="00E811B7"/>
    <w:rsid w:val="00E83BB1"/>
    <w:rsid w:val="00E84389"/>
    <w:rsid w:val="00E8569A"/>
    <w:rsid w:val="00E85C1C"/>
    <w:rsid w:val="00E86CA7"/>
    <w:rsid w:val="00E86DDA"/>
    <w:rsid w:val="00E86E6E"/>
    <w:rsid w:val="00E87156"/>
    <w:rsid w:val="00E87D54"/>
    <w:rsid w:val="00E90D52"/>
    <w:rsid w:val="00E91A30"/>
    <w:rsid w:val="00E9239A"/>
    <w:rsid w:val="00E933FE"/>
    <w:rsid w:val="00E952DA"/>
    <w:rsid w:val="00E96048"/>
    <w:rsid w:val="00E96375"/>
    <w:rsid w:val="00E969A8"/>
    <w:rsid w:val="00E97CCB"/>
    <w:rsid w:val="00EA11FB"/>
    <w:rsid w:val="00EA51AC"/>
    <w:rsid w:val="00EA5D5B"/>
    <w:rsid w:val="00EA6B5B"/>
    <w:rsid w:val="00EA747B"/>
    <w:rsid w:val="00EA76B3"/>
    <w:rsid w:val="00EB0160"/>
    <w:rsid w:val="00EB01DF"/>
    <w:rsid w:val="00EB0467"/>
    <w:rsid w:val="00EB0631"/>
    <w:rsid w:val="00EB0C42"/>
    <w:rsid w:val="00EB1378"/>
    <w:rsid w:val="00EB1B35"/>
    <w:rsid w:val="00EB4806"/>
    <w:rsid w:val="00EB6488"/>
    <w:rsid w:val="00EB76C2"/>
    <w:rsid w:val="00EC049E"/>
    <w:rsid w:val="00EC1013"/>
    <w:rsid w:val="00EC103A"/>
    <w:rsid w:val="00EC1A8C"/>
    <w:rsid w:val="00EC23A7"/>
    <w:rsid w:val="00EC2E9C"/>
    <w:rsid w:val="00EC4ECE"/>
    <w:rsid w:val="00EC6508"/>
    <w:rsid w:val="00EC71C8"/>
    <w:rsid w:val="00EC7515"/>
    <w:rsid w:val="00EC75F9"/>
    <w:rsid w:val="00EC7D72"/>
    <w:rsid w:val="00ED1263"/>
    <w:rsid w:val="00ED28C6"/>
    <w:rsid w:val="00ED30F8"/>
    <w:rsid w:val="00ED3726"/>
    <w:rsid w:val="00ED52A8"/>
    <w:rsid w:val="00ED5EB9"/>
    <w:rsid w:val="00ED7D0C"/>
    <w:rsid w:val="00ED7FB2"/>
    <w:rsid w:val="00EE33BB"/>
    <w:rsid w:val="00EE3A07"/>
    <w:rsid w:val="00EE5EA5"/>
    <w:rsid w:val="00EE7632"/>
    <w:rsid w:val="00EE7F1B"/>
    <w:rsid w:val="00EF06F9"/>
    <w:rsid w:val="00EF1C83"/>
    <w:rsid w:val="00EF2753"/>
    <w:rsid w:val="00EF3EBA"/>
    <w:rsid w:val="00EF4451"/>
    <w:rsid w:val="00EF5672"/>
    <w:rsid w:val="00EF5C8E"/>
    <w:rsid w:val="00EF5DA1"/>
    <w:rsid w:val="00EF637B"/>
    <w:rsid w:val="00EF7342"/>
    <w:rsid w:val="00F0013D"/>
    <w:rsid w:val="00F00D4F"/>
    <w:rsid w:val="00F01350"/>
    <w:rsid w:val="00F02134"/>
    <w:rsid w:val="00F0292A"/>
    <w:rsid w:val="00F02AB1"/>
    <w:rsid w:val="00F02CF0"/>
    <w:rsid w:val="00F03645"/>
    <w:rsid w:val="00F043BE"/>
    <w:rsid w:val="00F052BD"/>
    <w:rsid w:val="00F05653"/>
    <w:rsid w:val="00F06977"/>
    <w:rsid w:val="00F06B4C"/>
    <w:rsid w:val="00F1068B"/>
    <w:rsid w:val="00F12960"/>
    <w:rsid w:val="00F130CB"/>
    <w:rsid w:val="00F13B8A"/>
    <w:rsid w:val="00F13F73"/>
    <w:rsid w:val="00F13FCE"/>
    <w:rsid w:val="00F14BBB"/>
    <w:rsid w:val="00F14EC7"/>
    <w:rsid w:val="00F15206"/>
    <w:rsid w:val="00F153E7"/>
    <w:rsid w:val="00F15FD0"/>
    <w:rsid w:val="00F20109"/>
    <w:rsid w:val="00F201A2"/>
    <w:rsid w:val="00F20983"/>
    <w:rsid w:val="00F21DE1"/>
    <w:rsid w:val="00F22865"/>
    <w:rsid w:val="00F234A9"/>
    <w:rsid w:val="00F24868"/>
    <w:rsid w:val="00F24FC4"/>
    <w:rsid w:val="00F25D05"/>
    <w:rsid w:val="00F261A9"/>
    <w:rsid w:val="00F2685A"/>
    <w:rsid w:val="00F27E0D"/>
    <w:rsid w:val="00F31DE0"/>
    <w:rsid w:val="00F3257F"/>
    <w:rsid w:val="00F325CA"/>
    <w:rsid w:val="00F327A6"/>
    <w:rsid w:val="00F34E5F"/>
    <w:rsid w:val="00F3596A"/>
    <w:rsid w:val="00F362A4"/>
    <w:rsid w:val="00F3675F"/>
    <w:rsid w:val="00F36980"/>
    <w:rsid w:val="00F37144"/>
    <w:rsid w:val="00F40ECC"/>
    <w:rsid w:val="00F40EE2"/>
    <w:rsid w:val="00F415D2"/>
    <w:rsid w:val="00F41C83"/>
    <w:rsid w:val="00F42461"/>
    <w:rsid w:val="00F428E9"/>
    <w:rsid w:val="00F42B28"/>
    <w:rsid w:val="00F4330D"/>
    <w:rsid w:val="00F449FF"/>
    <w:rsid w:val="00F44B8B"/>
    <w:rsid w:val="00F452B2"/>
    <w:rsid w:val="00F457BD"/>
    <w:rsid w:val="00F459BD"/>
    <w:rsid w:val="00F45D01"/>
    <w:rsid w:val="00F45D74"/>
    <w:rsid w:val="00F4659A"/>
    <w:rsid w:val="00F474D3"/>
    <w:rsid w:val="00F47552"/>
    <w:rsid w:val="00F5250E"/>
    <w:rsid w:val="00F530C4"/>
    <w:rsid w:val="00F542B7"/>
    <w:rsid w:val="00F547C1"/>
    <w:rsid w:val="00F54CFC"/>
    <w:rsid w:val="00F54E79"/>
    <w:rsid w:val="00F565DF"/>
    <w:rsid w:val="00F5759C"/>
    <w:rsid w:val="00F57B04"/>
    <w:rsid w:val="00F601DA"/>
    <w:rsid w:val="00F61899"/>
    <w:rsid w:val="00F61CCB"/>
    <w:rsid w:val="00F6202B"/>
    <w:rsid w:val="00F633A3"/>
    <w:rsid w:val="00F6467F"/>
    <w:rsid w:val="00F65639"/>
    <w:rsid w:val="00F65AD9"/>
    <w:rsid w:val="00F6634D"/>
    <w:rsid w:val="00F708FB"/>
    <w:rsid w:val="00F71382"/>
    <w:rsid w:val="00F71DF4"/>
    <w:rsid w:val="00F731FC"/>
    <w:rsid w:val="00F7393A"/>
    <w:rsid w:val="00F74D7E"/>
    <w:rsid w:val="00F75336"/>
    <w:rsid w:val="00F76185"/>
    <w:rsid w:val="00F767DD"/>
    <w:rsid w:val="00F76F5D"/>
    <w:rsid w:val="00F770A3"/>
    <w:rsid w:val="00F779E1"/>
    <w:rsid w:val="00F77D5F"/>
    <w:rsid w:val="00F804CD"/>
    <w:rsid w:val="00F81489"/>
    <w:rsid w:val="00F8248C"/>
    <w:rsid w:val="00F82560"/>
    <w:rsid w:val="00F8374F"/>
    <w:rsid w:val="00F83E76"/>
    <w:rsid w:val="00F85352"/>
    <w:rsid w:val="00F86EF4"/>
    <w:rsid w:val="00F87522"/>
    <w:rsid w:val="00F87F63"/>
    <w:rsid w:val="00F908EC"/>
    <w:rsid w:val="00F90D2B"/>
    <w:rsid w:val="00F91313"/>
    <w:rsid w:val="00F91F12"/>
    <w:rsid w:val="00F9358C"/>
    <w:rsid w:val="00F9458B"/>
    <w:rsid w:val="00F95C5C"/>
    <w:rsid w:val="00F97E4A"/>
    <w:rsid w:val="00FA1528"/>
    <w:rsid w:val="00FA391A"/>
    <w:rsid w:val="00FA39FE"/>
    <w:rsid w:val="00FA42EF"/>
    <w:rsid w:val="00FA4DDC"/>
    <w:rsid w:val="00FA5B36"/>
    <w:rsid w:val="00FA6574"/>
    <w:rsid w:val="00FA73AB"/>
    <w:rsid w:val="00FB4EA6"/>
    <w:rsid w:val="00FB5350"/>
    <w:rsid w:val="00FB5637"/>
    <w:rsid w:val="00FB5669"/>
    <w:rsid w:val="00FB5B3D"/>
    <w:rsid w:val="00FB5CC5"/>
    <w:rsid w:val="00FB75E0"/>
    <w:rsid w:val="00FB7700"/>
    <w:rsid w:val="00FC2DF5"/>
    <w:rsid w:val="00FC41B3"/>
    <w:rsid w:val="00FC44EE"/>
    <w:rsid w:val="00FC5EE2"/>
    <w:rsid w:val="00FC60D1"/>
    <w:rsid w:val="00FD1681"/>
    <w:rsid w:val="00FD32DC"/>
    <w:rsid w:val="00FD3518"/>
    <w:rsid w:val="00FD4245"/>
    <w:rsid w:val="00FD4D1B"/>
    <w:rsid w:val="00FD4EB6"/>
    <w:rsid w:val="00FD66ED"/>
    <w:rsid w:val="00FD7982"/>
    <w:rsid w:val="00FD7E5D"/>
    <w:rsid w:val="00FE0F0C"/>
    <w:rsid w:val="00FE13BC"/>
    <w:rsid w:val="00FE14A1"/>
    <w:rsid w:val="00FE151B"/>
    <w:rsid w:val="00FE3018"/>
    <w:rsid w:val="00FE3EDF"/>
    <w:rsid w:val="00FE487B"/>
    <w:rsid w:val="00FE5BA5"/>
    <w:rsid w:val="00FE5F25"/>
    <w:rsid w:val="00FE6F3F"/>
    <w:rsid w:val="00FF1A23"/>
    <w:rsid w:val="00FF1BBC"/>
    <w:rsid w:val="00FF1D3F"/>
    <w:rsid w:val="00FF32B0"/>
    <w:rsid w:val="00FF39CB"/>
    <w:rsid w:val="00FF4A4B"/>
    <w:rsid w:val="00FF4CDF"/>
    <w:rsid w:val="00FF5DD2"/>
    <w:rsid w:val="00FF5DEA"/>
    <w:rsid w:val="00FF6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17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85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8C2C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720E"/>
  </w:style>
  <w:style w:type="character" w:styleId="Vurgu">
    <w:name w:val="Emphasis"/>
    <w:basedOn w:val="VarsaylanParagrafYazTipi"/>
    <w:uiPriority w:val="20"/>
    <w:qFormat/>
    <w:rsid w:val="002363C8"/>
    <w:rPr>
      <w:i/>
      <w:iCs/>
    </w:rPr>
  </w:style>
  <w:style w:type="character" w:styleId="Kpr">
    <w:name w:val="Hyperlink"/>
    <w:basedOn w:val="VarsaylanParagrafYazTipi"/>
    <w:uiPriority w:val="99"/>
    <w:unhideWhenUsed/>
    <w:rsid w:val="00030E8F"/>
    <w:rPr>
      <w:color w:val="0000FF"/>
      <w:u w:val="single"/>
    </w:rPr>
  </w:style>
  <w:style w:type="character" w:customStyle="1" w:styleId="Balk1Char">
    <w:name w:val="Başlık 1 Char"/>
    <w:basedOn w:val="VarsaylanParagrafYazTipi"/>
    <w:link w:val="Balk1"/>
    <w:uiPriority w:val="9"/>
    <w:rsid w:val="00317CBB"/>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657F11"/>
    <w:rPr>
      <w:sz w:val="16"/>
      <w:szCs w:val="16"/>
    </w:rPr>
  </w:style>
  <w:style w:type="paragraph" w:styleId="AklamaMetni">
    <w:name w:val="annotation text"/>
    <w:basedOn w:val="Normal"/>
    <w:link w:val="AklamaMetniChar"/>
    <w:uiPriority w:val="99"/>
    <w:unhideWhenUsed/>
    <w:rsid w:val="00657F11"/>
    <w:pPr>
      <w:spacing w:line="240" w:lineRule="auto"/>
    </w:pPr>
    <w:rPr>
      <w:sz w:val="20"/>
      <w:szCs w:val="20"/>
    </w:rPr>
  </w:style>
  <w:style w:type="character" w:customStyle="1" w:styleId="AklamaMetniChar">
    <w:name w:val="Açıklama Metni Char"/>
    <w:basedOn w:val="VarsaylanParagrafYazTipi"/>
    <w:link w:val="AklamaMetni"/>
    <w:uiPriority w:val="99"/>
    <w:rsid w:val="00657F11"/>
    <w:rPr>
      <w:sz w:val="20"/>
      <w:szCs w:val="20"/>
    </w:rPr>
  </w:style>
  <w:style w:type="paragraph" w:styleId="AklamaKonusu">
    <w:name w:val="annotation subject"/>
    <w:basedOn w:val="AklamaMetni"/>
    <w:next w:val="AklamaMetni"/>
    <w:link w:val="AklamaKonusuChar"/>
    <w:uiPriority w:val="99"/>
    <w:semiHidden/>
    <w:unhideWhenUsed/>
    <w:rsid w:val="00657F11"/>
    <w:rPr>
      <w:b/>
      <w:bCs/>
    </w:rPr>
  </w:style>
  <w:style w:type="character" w:customStyle="1" w:styleId="AklamaKonusuChar">
    <w:name w:val="Açıklama Konusu Char"/>
    <w:basedOn w:val="AklamaMetniChar"/>
    <w:link w:val="AklamaKonusu"/>
    <w:uiPriority w:val="99"/>
    <w:semiHidden/>
    <w:rsid w:val="00657F11"/>
    <w:rPr>
      <w:b/>
      <w:bCs/>
      <w:sz w:val="20"/>
      <w:szCs w:val="20"/>
    </w:rPr>
  </w:style>
  <w:style w:type="paragraph" w:styleId="BalonMetni">
    <w:name w:val="Balloon Text"/>
    <w:basedOn w:val="Normal"/>
    <w:link w:val="BalonMetniChar"/>
    <w:uiPriority w:val="99"/>
    <w:semiHidden/>
    <w:unhideWhenUsed/>
    <w:rsid w:val="00657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7F11"/>
    <w:rPr>
      <w:rFonts w:ascii="Segoe UI" w:hAnsi="Segoe UI" w:cs="Segoe UI"/>
      <w:sz w:val="18"/>
      <w:szCs w:val="18"/>
    </w:rPr>
  </w:style>
  <w:style w:type="character" w:customStyle="1" w:styleId="ref-lnk">
    <w:name w:val="ref-lnk"/>
    <w:basedOn w:val="VarsaylanParagrafYazTipi"/>
    <w:rsid w:val="00F85352"/>
  </w:style>
  <w:style w:type="character" w:customStyle="1" w:styleId="ref-overlay">
    <w:name w:val="ref-overlay"/>
    <w:basedOn w:val="VarsaylanParagrafYazTipi"/>
    <w:rsid w:val="00F85352"/>
  </w:style>
  <w:style w:type="character" w:customStyle="1" w:styleId="hlfld-contribauthor">
    <w:name w:val="hlfld-contribauthor"/>
    <w:basedOn w:val="VarsaylanParagrafYazTipi"/>
    <w:rsid w:val="00F85352"/>
  </w:style>
  <w:style w:type="character" w:customStyle="1" w:styleId="nlmgiven-names">
    <w:name w:val="nlm_given-names"/>
    <w:basedOn w:val="VarsaylanParagrafYazTipi"/>
    <w:rsid w:val="00F85352"/>
  </w:style>
  <w:style w:type="character" w:customStyle="1" w:styleId="nlmarticle-title">
    <w:name w:val="nlm_article-title"/>
    <w:basedOn w:val="VarsaylanParagrafYazTipi"/>
    <w:rsid w:val="00F85352"/>
  </w:style>
  <w:style w:type="character" w:customStyle="1" w:styleId="nlmyear">
    <w:name w:val="nlm_year"/>
    <w:basedOn w:val="VarsaylanParagrafYazTipi"/>
    <w:rsid w:val="00F85352"/>
  </w:style>
  <w:style w:type="character" w:customStyle="1" w:styleId="nlmfpage">
    <w:name w:val="nlm_fpage"/>
    <w:basedOn w:val="VarsaylanParagrafYazTipi"/>
    <w:rsid w:val="00F85352"/>
  </w:style>
  <w:style w:type="character" w:customStyle="1" w:styleId="nlmlpage">
    <w:name w:val="nlm_lpage"/>
    <w:basedOn w:val="VarsaylanParagrafYazTipi"/>
    <w:rsid w:val="00F85352"/>
  </w:style>
  <w:style w:type="character" w:customStyle="1" w:styleId="ref-links">
    <w:name w:val="ref-links"/>
    <w:basedOn w:val="VarsaylanParagrafYazTipi"/>
    <w:rsid w:val="00F85352"/>
  </w:style>
  <w:style w:type="character" w:customStyle="1" w:styleId="xlinks-container">
    <w:name w:val="xlinks-container"/>
    <w:basedOn w:val="VarsaylanParagrafYazTipi"/>
    <w:rsid w:val="00F85352"/>
  </w:style>
  <w:style w:type="character" w:customStyle="1" w:styleId="googlescholar-container">
    <w:name w:val="googlescholar-container"/>
    <w:basedOn w:val="VarsaylanParagrafYazTipi"/>
    <w:rsid w:val="00F85352"/>
  </w:style>
  <w:style w:type="character" w:customStyle="1" w:styleId="src1">
    <w:name w:val="src1"/>
    <w:rsid w:val="00AD14CD"/>
    <w:rPr>
      <w:vanish w:val="0"/>
      <w:webHidden w:val="0"/>
      <w:specVanish w:val="0"/>
    </w:rPr>
  </w:style>
  <w:style w:type="paragraph" w:styleId="GvdeMetni">
    <w:name w:val="Body Text"/>
    <w:basedOn w:val="Normal"/>
    <w:link w:val="GvdeMetniChar"/>
    <w:uiPriority w:val="99"/>
    <w:unhideWhenUsed/>
    <w:rsid w:val="00CF6223"/>
    <w:pPr>
      <w:suppressAutoHyphens/>
      <w:overflowPunct w:val="0"/>
      <w:autoSpaceDE w:val="0"/>
      <w:spacing w:after="120" w:line="240" w:lineRule="auto"/>
      <w:jc w:val="both"/>
      <w:textAlignment w:val="baseline"/>
    </w:pPr>
    <w:rPr>
      <w:rFonts w:ascii="Arial" w:eastAsia="Times New Roman" w:hAnsi="Arial" w:cs="Times New Roman"/>
      <w:szCs w:val="20"/>
      <w:lang w:eastAsia="ar-SA"/>
    </w:rPr>
  </w:style>
  <w:style w:type="character" w:customStyle="1" w:styleId="GvdeMetniChar">
    <w:name w:val="Gövde Metni Char"/>
    <w:basedOn w:val="VarsaylanParagrafYazTipi"/>
    <w:link w:val="GvdeMetni"/>
    <w:uiPriority w:val="99"/>
    <w:rsid w:val="00CF6223"/>
    <w:rPr>
      <w:rFonts w:ascii="Arial" w:eastAsia="Times New Roman" w:hAnsi="Arial" w:cs="Times New Roman"/>
      <w:szCs w:val="20"/>
      <w:lang w:eastAsia="ar-SA"/>
    </w:rPr>
  </w:style>
  <w:style w:type="paragraph" w:styleId="stbilgi">
    <w:name w:val="header"/>
    <w:basedOn w:val="Normal"/>
    <w:link w:val="stbilgiChar"/>
    <w:uiPriority w:val="99"/>
    <w:unhideWhenUsed/>
    <w:rsid w:val="00250F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F82"/>
  </w:style>
  <w:style w:type="paragraph" w:styleId="Altbilgi">
    <w:name w:val="footer"/>
    <w:basedOn w:val="Normal"/>
    <w:link w:val="AltbilgiChar"/>
    <w:uiPriority w:val="99"/>
    <w:unhideWhenUsed/>
    <w:rsid w:val="00250F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F82"/>
  </w:style>
  <w:style w:type="character" w:customStyle="1" w:styleId="Balk4Char">
    <w:name w:val="Başlık 4 Char"/>
    <w:basedOn w:val="VarsaylanParagrafYazTipi"/>
    <w:link w:val="Balk4"/>
    <w:uiPriority w:val="9"/>
    <w:semiHidden/>
    <w:rsid w:val="008C2C3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8C2C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4">
    <w:name w:val="A4"/>
    <w:uiPriority w:val="99"/>
    <w:rsid w:val="00D06DCC"/>
    <w:rPr>
      <w:rFonts w:cs="Trebuchet MS"/>
      <w:color w:val="000000"/>
      <w:sz w:val="18"/>
      <w:szCs w:val="18"/>
    </w:rPr>
  </w:style>
  <w:style w:type="character" w:customStyle="1" w:styleId="highlight">
    <w:name w:val="highlight"/>
    <w:basedOn w:val="VarsaylanParagrafYazTipi"/>
    <w:rsid w:val="00F4659A"/>
  </w:style>
  <w:style w:type="paragraph" w:customStyle="1" w:styleId="referans">
    <w:name w:val="referans"/>
    <w:basedOn w:val="Normal"/>
    <w:link w:val="referansChar"/>
    <w:qFormat/>
    <w:rsid w:val="00ED5EB9"/>
    <w:pPr>
      <w:spacing w:before="120" w:after="120" w:line="240" w:lineRule="auto"/>
      <w:jc w:val="both"/>
    </w:pPr>
    <w:rPr>
      <w:rFonts w:ascii="Times New Roman" w:hAnsi="Times New Roman"/>
      <w:sz w:val="24"/>
    </w:rPr>
  </w:style>
  <w:style w:type="character" w:customStyle="1" w:styleId="referansChar">
    <w:name w:val="referans Char"/>
    <w:basedOn w:val="VarsaylanParagrafYazTipi"/>
    <w:link w:val="referans"/>
    <w:rsid w:val="00ED5EB9"/>
    <w:rPr>
      <w:rFonts w:ascii="Times New Roman" w:hAnsi="Times New Roman"/>
      <w:sz w:val="24"/>
    </w:rPr>
  </w:style>
  <w:style w:type="paragraph" w:customStyle="1" w:styleId="WW-NormalWeb1">
    <w:name w:val="WW-Normal (Web)1"/>
    <w:basedOn w:val="Normal"/>
    <w:rsid w:val="008113EA"/>
    <w:pPr>
      <w:spacing w:before="280" w:after="119" w:line="240" w:lineRule="auto"/>
    </w:pPr>
    <w:rPr>
      <w:rFonts w:ascii="Times New Roman" w:eastAsia="Times New Roman" w:hAnsi="Times New Roman" w:cs="Times New Roman"/>
      <w:sz w:val="24"/>
      <w:szCs w:val="24"/>
      <w:lang w:eastAsia="ar-SA"/>
    </w:rPr>
  </w:style>
  <w:style w:type="character" w:customStyle="1" w:styleId="element-citation">
    <w:name w:val="element-citation"/>
    <w:basedOn w:val="VarsaylanParagrafYazTipi"/>
    <w:rsid w:val="00640CAA"/>
  </w:style>
  <w:style w:type="character" w:customStyle="1" w:styleId="ref-journal">
    <w:name w:val="ref-journal"/>
    <w:basedOn w:val="VarsaylanParagrafYazTipi"/>
    <w:rsid w:val="00640CAA"/>
  </w:style>
  <w:style w:type="character" w:customStyle="1" w:styleId="ref-vol">
    <w:name w:val="ref-vol"/>
    <w:basedOn w:val="VarsaylanParagrafYazTipi"/>
    <w:rsid w:val="00640CAA"/>
  </w:style>
  <w:style w:type="character" w:customStyle="1" w:styleId="nowrap">
    <w:name w:val="nowrap"/>
    <w:basedOn w:val="VarsaylanParagrafYazTipi"/>
    <w:rsid w:val="00640CAA"/>
  </w:style>
  <w:style w:type="character" w:customStyle="1" w:styleId="Balk2Char">
    <w:name w:val="Başlık 2 Char"/>
    <w:basedOn w:val="VarsaylanParagrafYazTipi"/>
    <w:link w:val="Balk2"/>
    <w:uiPriority w:val="9"/>
    <w:semiHidden/>
    <w:rsid w:val="0018536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FA6574"/>
    <w:pPr>
      <w:ind w:left="720"/>
      <w:contextualSpacing/>
    </w:pPr>
  </w:style>
  <w:style w:type="character" w:customStyle="1" w:styleId="text">
    <w:name w:val="text"/>
    <w:basedOn w:val="VarsaylanParagrafYazTipi"/>
    <w:rsid w:val="00D06D0B"/>
  </w:style>
  <w:style w:type="paragraph" w:customStyle="1" w:styleId="KonuBal1">
    <w:name w:val="Konu Başlığı1"/>
    <w:basedOn w:val="Normal"/>
    <w:rsid w:val="008522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85227F"/>
  </w:style>
  <w:style w:type="paragraph" w:customStyle="1" w:styleId="io-left">
    <w:name w:val="io-left"/>
    <w:basedOn w:val="Normal"/>
    <w:rsid w:val="008522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
    <w:name w:val="label"/>
    <w:basedOn w:val="VarsaylanParagrafYazTipi"/>
    <w:rsid w:val="0085227F"/>
  </w:style>
  <w:style w:type="paragraph" w:styleId="HTMLncedenBiimlendirilmi">
    <w:name w:val="HTML Preformatted"/>
    <w:basedOn w:val="Normal"/>
    <w:link w:val="HTMLncedenBiimlendirilmiChar"/>
    <w:uiPriority w:val="99"/>
    <w:semiHidden/>
    <w:unhideWhenUsed/>
    <w:rsid w:val="0085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5227F"/>
    <w:rPr>
      <w:rFonts w:ascii="Courier New" w:eastAsia="Times New Roman" w:hAnsi="Courier New" w:cs="Courier New"/>
      <w:sz w:val="20"/>
      <w:szCs w:val="20"/>
      <w:lang w:eastAsia="tr-TR"/>
    </w:rPr>
  </w:style>
  <w:style w:type="table" w:styleId="TabloKlavuzu">
    <w:name w:val="Table Grid"/>
    <w:basedOn w:val="NormalTablo"/>
    <w:uiPriority w:val="39"/>
    <w:rsid w:val="0000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045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17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85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8C2C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720E"/>
  </w:style>
  <w:style w:type="character" w:styleId="Vurgu">
    <w:name w:val="Emphasis"/>
    <w:basedOn w:val="VarsaylanParagrafYazTipi"/>
    <w:uiPriority w:val="20"/>
    <w:qFormat/>
    <w:rsid w:val="002363C8"/>
    <w:rPr>
      <w:i/>
      <w:iCs/>
    </w:rPr>
  </w:style>
  <w:style w:type="character" w:styleId="Kpr">
    <w:name w:val="Hyperlink"/>
    <w:basedOn w:val="VarsaylanParagrafYazTipi"/>
    <w:uiPriority w:val="99"/>
    <w:unhideWhenUsed/>
    <w:rsid w:val="00030E8F"/>
    <w:rPr>
      <w:color w:val="0000FF"/>
      <w:u w:val="single"/>
    </w:rPr>
  </w:style>
  <w:style w:type="character" w:customStyle="1" w:styleId="Balk1Char">
    <w:name w:val="Başlık 1 Char"/>
    <w:basedOn w:val="VarsaylanParagrafYazTipi"/>
    <w:link w:val="Balk1"/>
    <w:uiPriority w:val="9"/>
    <w:rsid w:val="00317CBB"/>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657F11"/>
    <w:rPr>
      <w:sz w:val="16"/>
      <w:szCs w:val="16"/>
    </w:rPr>
  </w:style>
  <w:style w:type="paragraph" w:styleId="AklamaMetni">
    <w:name w:val="annotation text"/>
    <w:basedOn w:val="Normal"/>
    <w:link w:val="AklamaMetniChar"/>
    <w:uiPriority w:val="99"/>
    <w:unhideWhenUsed/>
    <w:rsid w:val="00657F11"/>
    <w:pPr>
      <w:spacing w:line="240" w:lineRule="auto"/>
    </w:pPr>
    <w:rPr>
      <w:sz w:val="20"/>
      <w:szCs w:val="20"/>
    </w:rPr>
  </w:style>
  <w:style w:type="character" w:customStyle="1" w:styleId="AklamaMetniChar">
    <w:name w:val="Açıklama Metni Char"/>
    <w:basedOn w:val="VarsaylanParagrafYazTipi"/>
    <w:link w:val="AklamaMetni"/>
    <w:uiPriority w:val="99"/>
    <w:rsid w:val="00657F11"/>
    <w:rPr>
      <w:sz w:val="20"/>
      <w:szCs w:val="20"/>
    </w:rPr>
  </w:style>
  <w:style w:type="paragraph" w:styleId="AklamaKonusu">
    <w:name w:val="annotation subject"/>
    <w:basedOn w:val="AklamaMetni"/>
    <w:next w:val="AklamaMetni"/>
    <w:link w:val="AklamaKonusuChar"/>
    <w:uiPriority w:val="99"/>
    <w:semiHidden/>
    <w:unhideWhenUsed/>
    <w:rsid w:val="00657F11"/>
    <w:rPr>
      <w:b/>
      <w:bCs/>
    </w:rPr>
  </w:style>
  <w:style w:type="character" w:customStyle="1" w:styleId="AklamaKonusuChar">
    <w:name w:val="Açıklama Konusu Char"/>
    <w:basedOn w:val="AklamaMetniChar"/>
    <w:link w:val="AklamaKonusu"/>
    <w:uiPriority w:val="99"/>
    <w:semiHidden/>
    <w:rsid w:val="00657F11"/>
    <w:rPr>
      <w:b/>
      <w:bCs/>
      <w:sz w:val="20"/>
      <w:szCs w:val="20"/>
    </w:rPr>
  </w:style>
  <w:style w:type="paragraph" w:styleId="BalonMetni">
    <w:name w:val="Balloon Text"/>
    <w:basedOn w:val="Normal"/>
    <w:link w:val="BalonMetniChar"/>
    <w:uiPriority w:val="99"/>
    <w:semiHidden/>
    <w:unhideWhenUsed/>
    <w:rsid w:val="00657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7F11"/>
    <w:rPr>
      <w:rFonts w:ascii="Segoe UI" w:hAnsi="Segoe UI" w:cs="Segoe UI"/>
      <w:sz w:val="18"/>
      <w:szCs w:val="18"/>
    </w:rPr>
  </w:style>
  <w:style w:type="character" w:customStyle="1" w:styleId="ref-lnk">
    <w:name w:val="ref-lnk"/>
    <w:basedOn w:val="VarsaylanParagrafYazTipi"/>
    <w:rsid w:val="00F85352"/>
  </w:style>
  <w:style w:type="character" w:customStyle="1" w:styleId="ref-overlay">
    <w:name w:val="ref-overlay"/>
    <w:basedOn w:val="VarsaylanParagrafYazTipi"/>
    <w:rsid w:val="00F85352"/>
  </w:style>
  <w:style w:type="character" w:customStyle="1" w:styleId="hlfld-contribauthor">
    <w:name w:val="hlfld-contribauthor"/>
    <w:basedOn w:val="VarsaylanParagrafYazTipi"/>
    <w:rsid w:val="00F85352"/>
  </w:style>
  <w:style w:type="character" w:customStyle="1" w:styleId="nlmgiven-names">
    <w:name w:val="nlm_given-names"/>
    <w:basedOn w:val="VarsaylanParagrafYazTipi"/>
    <w:rsid w:val="00F85352"/>
  </w:style>
  <w:style w:type="character" w:customStyle="1" w:styleId="nlmarticle-title">
    <w:name w:val="nlm_article-title"/>
    <w:basedOn w:val="VarsaylanParagrafYazTipi"/>
    <w:rsid w:val="00F85352"/>
  </w:style>
  <w:style w:type="character" w:customStyle="1" w:styleId="nlmyear">
    <w:name w:val="nlm_year"/>
    <w:basedOn w:val="VarsaylanParagrafYazTipi"/>
    <w:rsid w:val="00F85352"/>
  </w:style>
  <w:style w:type="character" w:customStyle="1" w:styleId="nlmfpage">
    <w:name w:val="nlm_fpage"/>
    <w:basedOn w:val="VarsaylanParagrafYazTipi"/>
    <w:rsid w:val="00F85352"/>
  </w:style>
  <w:style w:type="character" w:customStyle="1" w:styleId="nlmlpage">
    <w:name w:val="nlm_lpage"/>
    <w:basedOn w:val="VarsaylanParagrafYazTipi"/>
    <w:rsid w:val="00F85352"/>
  </w:style>
  <w:style w:type="character" w:customStyle="1" w:styleId="ref-links">
    <w:name w:val="ref-links"/>
    <w:basedOn w:val="VarsaylanParagrafYazTipi"/>
    <w:rsid w:val="00F85352"/>
  </w:style>
  <w:style w:type="character" w:customStyle="1" w:styleId="xlinks-container">
    <w:name w:val="xlinks-container"/>
    <w:basedOn w:val="VarsaylanParagrafYazTipi"/>
    <w:rsid w:val="00F85352"/>
  </w:style>
  <w:style w:type="character" w:customStyle="1" w:styleId="googlescholar-container">
    <w:name w:val="googlescholar-container"/>
    <w:basedOn w:val="VarsaylanParagrafYazTipi"/>
    <w:rsid w:val="00F85352"/>
  </w:style>
  <w:style w:type="character" w:customStyle="1" w:styleId="src1">
    <w:name w:val="src1"/>
    <w:rsid w:val="00AD14CD"/>
    <w:rPr>
      <w:vanish w:val="0"/>
      <w:webHidden w:val="0"/>
      <w:specVanish w:val="0"/>
    </w:rPr>
  </w:style>
  <w:style w:type="paragraph" w:styleId="GvdeMetni">
    <w:name w:val="Body Text"/>
    <w:basedOn w:val="Normal"/>
    <w:link w:val="GvdeMetniChar"/>
    <w:uiPriority w:val="99"/>
    <w:unhideWhenUsed/>
    <w:rsid w:val="00CF6223"/>
    <w:pPr>
      <w:suppressAutoHyphens/>
      <w:overflowPunct w:val="0"/>
      <w:autoSpaceDE w:val="0"/>
      <w:spacing w:after="120" w:line="240" w:lineRule="auto"/>
      <w:jc w:val="both"/>
      <w:textAlignment w:val="baseline"/>
    </w:pPr>
    <w:rPr>
      <w:rFonts w:ascii="Arial" w:eastAsia="Times New Roman" w:hAnsi="Arial" w:cs="Times New Roman"/>
      <w:szCs w:val="20"/>
      <w:lang w:eastAsia="ar-SA"/>
    </w:rPr>
  </w:style>
  <w:style w:type="character" w:customStyle="1" w:styleId="GvdeMetniChar">
    <w:name w:val="Gövde Metni Char"/>
    <w:basedOn w:val="VarsaylanParagrafYazTipi"/>
    <w:link w:val="GvdeMetni"/>
    <w:uiPriority w:val="99"/>
    <w:rsid w:val="00CF6223"/>
    <w:rPr>
      <w:rFonts w:ascii="Arial" w:eastAsia="Times New Roman" w:hAnsi="Arial" w:cs="Times New Roman"/>
      <w:szCs w:val="20"/>
      <w:lang w:eastAsia="ar-SA"/>
    </w:rPr>
  </w:style>
  <w:style w:type="paragraph" w:styleId="stbilgi">
    <w:name w:val="header"/>
    <w:basedOn w:val="Normal"/>
    <w:link w:val="stbilgiChar"/>
    <w:uiPriority w:val="99"/>
    <w:unhideWhenUsed/>
    <w:rsid w:val="00250F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F82"/>
  </w:style>
  <w:style w:type="paragraph" w:styleId="Altbilgi">
    <w:name w:val="footer"/>
    <w:basedOn w:val="Normal"/>
    <w:link w:val="AltbilgiChar"/>
    <w:uiPriority w:val="99"/>
    <w:unhideWhenUsed/>
    <w:rsid w:val="00250F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F82"/>
  </w:style>
  <w:style w:type="character" w:customStyle="1" w:styleId="Balk4Char">
    <w:name w:val="Başlık 4 Char"/>
    <w:basedOn w:val="VarsaylanParagrafYazTipi"/>
    <w:link w:val="Balk4"/>
    <w:uiPriority w:val="9"/>
    <w:semiHidden/>
    <w:rsid w:val="008C2C3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8C2C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4">
    <w:name w:val="A4"/>
    <w:uiPriority w:val="99"/>
    <w:rsid w:val="00D06DCC"/>
    <w:rPr>
      <w:rFonts w:cs="Trebuchet MS"/>
      <w:color w:val="000000"/>
      <w:sz w:val="18"/>
      <w:szCs w:val="18"/>
    </w:rPr>
  </w:style>
  <w:style w:type="character" w:customStyle="1" w:styleId="highlight">
    <w:name w:val="highlight"/>
    <w:basedOn w:val="VarsaylanParagrafYazTipi"/>
    <w:rsid w:val="00F4659A"/>
  </w:style>
  <w:style w:type="paragraph" w:customStyle="1" w:styleId="referans">
    <w:name w:val="referans"/>
    <w:basedOn w:val="Normal"/>
    <w:link w:val="referansChar"/>
    <w:qFormat/>
    <w:rsid w:val="00ED5EB9"/>
    <w:pPr>
      <w:spacing w:before="120" w:after="120" w:line="240" w:lineRule="auto"/>
      <w:jc w:val="both"/>
    </w:pPr>
    <w:rPr>
      <w:rFonts w:ascii="Times New Roman" w:hAnsi="Times New Roman"/>
      <w:sz w:val="24"/>
    </w:rPr>
  </w:style>
  <w:style w:type="character" w:customStyle="1" w:styleId="referansChar">
    <w:name w:val="referans Char"/>
    <w:basedOn w:val="VarsaylanParagrafYazTipi"/>
    <w:link w:val="referans"/>
    <w:rsid w:val="00ED5EB9"/>
    <w:rPr>
      <w:rFonts w:ascii="Times New Roman" w:hAnsi="Times New Roman"/>
      <w:sz w:val="24"/>
    </w:rPr>
  </w:style>
  <w:style w:type="paragraph" w:customStyle="1" w:styleId="WW-NormalWeb1">
    <w:name w:val="WW-Normal (Web)1"/>
    <w:basedOn w:val="Normal"/>
    <w:rsid w:val="008113EA"/>
    <w:pPr>
      <w:spacing w:before="280" w:after="119" w:line="240" w:lineRule="auto"/>
    </w:pPr>
    <w:rPr>
      <w:rFonts w:ascii="Times New Roman" w:eastAsia="Times New Roman" w:hAnsi="Times New Roman" w:cs="Times New Roman"/>
      <w:sz w:val="24"/>
      <w:szCs w:val="24"/>
      <w:lang w:eastAsia="ar-SA"/>
    </w:rPr>
  </w:style>
  <w:style w:type="character" w:customStyle="1" w:styleId="element-citation">
    <w:name w:val="element-citation"/>
    <w:basedOn w:val="VarsaylanParagrafYazTipi"/>
    <w:rsid w:val="00640CAA"/>
  </w:style>
  <w:style w:type="character" w:customStyle="1" w:styleId="ref-journal">
    <w:name w:val="ref-journal"/>
    <w:basedOn w:val="VarsaylanParagrafYazTipi"/>
    <w:rsid w:val="00640CAA"/>
  </w:style>
  <w:style w:type="character" w:customStyle="1" w:styleId="ref-vol">
    <w:name w:val="ref-vol"/>
    <w:basedOn w:val="VarsaylanParagrafYazTipi"/>
    <w:rsid w:val="00640CAA"/>
  </w:style>
  <w:style w:type="character" w:customStyle="1" w:styleId="nowrap">
    <w:name w:val="nowrap"/>
    <w:basedOn w:val="VarsaylanParagrafYazTipi"/>
    <w:rsid w:val="00640CAA"/>
  </w:style>
  <w:style w:type="character" w:customStyle="1" w:styleId="Balk2Char">
    <w:name w:val="Başlık 2 Char"/>
    <w:basedOn w:val="VarsaylanParagrafYazTipi"/>
    <w:link w:val="Balk2"/>
    <w:uiPriority w:val="9"/>
    <w:semiHidden/>
    <w:rsid w:val="0018536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FA6574"/>
    <w:pPr>
      <w:ind w:left="720"/>
      <w:contextualSpacing/>
    </w:pPr>
  </w:style>
  <w:style w:type="character" w:customStyle="1" w:styleId="text">
    <w:name w:val="text"/>
    <w:basedOn w:val="VarsaylanParagrafYazTipi"/>
    <w:rsid w:val="00D06D0B"/>
  </w:style>
  <w:style w:type="paragraph" w:customStyle="1" w:styleId="KonuBal1">
    <w:name w:val="Konu Başlığı1"/>
    <w:basedOn w:val="Normal"/>
    <w:rsid w:val="008522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85227F"/>
  </w:style>
  <w:style w:type="paragraph" w:customStyle="1" w:styleId="io-left">
    <w:name w:val="io-left"/>
    <w:basedOn w:val="Normal"/>
    <w:rsid w:val="008522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
    <w:name w:val="label"/>
    <w:basedOn w:val="VarsaylanParagrafYazTipi"/>
    <w:rsid w:val="0085227F"/>
  </w:style>
  <w:style w:type="paragraph" w:styleId="HTMLncedenBiimlendirilmi">
    <w:name w:val="HTML Preformatted"/>
    <w:basedOn w:val="Normal"/>
    <w:link w:val="HTMLncedenBiimlendirilmiChar"/>
    <w:uiPriority w:val="99"/>
    <w:semiHidden/>
    <w:unhideWhenUsed/>
    <w:rsid w:val="0085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5227F"/>
    <w:rPr>
      <w:rFonts w:ascii="Courier New" w:eastAsia="Times New Roman" w:hAnsi="Courier New" w:cs="Courier New"/>
      <w:sz w:val="20"/>
      <w:szCs w:val="20"/>
      <w:lang w:eastAsia="tr-TR"/>
    </w:rPr>
  </w:style>
  <w:style w:type="table" w:styleId="TabloKlavuzu">
    <w:name w:val="Table Grid"/>
    <w:basedOn w:val="NormalTablo"/>
    <w:uiPriority w:val="39"/>
    <w:rsid w:val="0000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04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829">
      <w:bodyDiv w:val="1"/>
      <w:marLeft w:val="0"/>
      <w:marRight w:val="0"/>
      <w:marTop w:val="0"/>
      <w:marBottom w:val="0"/>
      <w:divBdr>
        <w:top w:val="none" w:sz="0" w:space="0" w:color="auto"/>
        <w:left w:val="none" w:sz="0" w:space="0" w:color="auto"/>
        <w:bottom w:val="none" w:sz="0" w:space="0" w:color="auto"/>
        <w:right w:val="none" w:sz="0" w:space="0" w:color="auto"/>
      </w:divBdr>
      <w:divsChild>
        <w:div w:id="1328749234">
          <w:marLeft w:val="0"/>
          <w:marRight w:val="0"/>
          <w:marTop w:val="166"/>
          <w:marBottom w:val="166"/>
          <w:divBdr>
            <w:top w:val="none" w:sz="0" w:space="0" w:color="auto"/>
            <w:left w:val="none" w:sz="0" w:space="0" w:color="auto"/>
            <w:bottom w:val="none" w:sz="0" w:space="0" w:color="auto"/>
            <w:right w:val="none" w:sz="0" w:space="0" w:color="auto"/>
          </w:divBdr>
        </w:div>
        <w:div w:id="509374644">
          <w:marLeft w:val="0"/>
          <w:marRight w:val="0"/>
          <w:marTop w:val="166"/>
          <w:marBottom w:val="166"/>
          <w:divBdr>
            <w:top w:val="none" w:sz="0" w:space="0" w:color="auto"/>
            <w:left w:val="none" w:sz="0" w:space="0" w:color="auto"/>
            <w:bottom w:val="none" w:sz="0" w:space="0" w:color="auto"/>
            <w:right w:val="none" w:sz="0" w:space="0" w:color="auto"/>
          </w:divBdr>
        </w:div>
        <w:div w:id="1333601112">
          <w:marLeft w:val="0"/>
          <w:marRight w:val="0"/>
          <w:marTop w:val="166"/>
          <w:marBottom w:val="166"/>
          <w:divBdr>
            <w:top w:val="none" w:sz="0" w:space="0" w:color="auto"/>
            <w:left w:val="none" w:sz="0" w:space="0" w:color="auto"/>
            <w:bottom w:val="none" w:sz="0" w:space="0" w:color="auto"/>
            <w:right w:val="none" w:sz="0" w:space="0" w:color="auto"/>
          </w:divBdr>
        </w:div>
        <w:div w:id="1752727040">
          <w:marLeft w:val="0"/>
          <w:marRight w:val="0"/>
          <w:marTop w:val="166"/>
          <w:marBottom w:val="166"/>
          <w:divBdr>
            <w:top w:val="none" w:sz="0" w:space="0" w:color="auto"/>
            <w:left w:val="none" w:sz="0" w:space="0" w:color="auto"/>
            <w:bottom w:val="none" w:sz="0" w:space="0" w:color="auto"/>
            <w:right w:val="none" w:sz="0" w:space="0" w:color="auto"/>
          </w:divBdr>
        </w:div>
        <w:div w:id="1668437283">
          <w:marLeft w:val="0"/>
          <w:marRight w:val="0"/>
          <w:marTop w:val="166"/>
          <w:marBottom w:val="166"/>
          <w:divBdr>
            <w:top w:val="none" w:sz="0" w:space="0" w:color="auto"/>
            <w:left w:val="none" w:sz="0" w:space="0" w:color="auto"/>
            <w:bottom w:val="none" w:sz="0" w:space="0" w:color="auto"/>
            <w:right w:val="none" w:sz="0" w:space="0" w:color="auto"/>
          </w:divBdr>
        </w:div>
        <w:div w:id="1241980976">
          <w:marLeft w:val="0"/>
          <w:marRight w:val="0"/>
          <w:marTop w:val="166"/>
          <w:marBottom w:val="166"/>
          <w:divBdr>
            <w:top w:val="none" w:sz="0" w:space="0" w:color="auto"/>
            <w:left w:val="none" w:sz="0" w:space="0" w:color="auto"/>
            <w:bottom w:val="none" w:sz="0" w:space="0" w:color="auto"/>
            <w:right w:val="none" w:sz="0" w:space="0" w:color="auto"/>
          </w:divBdr>
        </w:div>
        <w:div w:id="1664090572">
          <w:marLeft w:val="0"/>
          <w:marRight w:val="0"/>
          <w:marTop w:val="166"/>
          <w:marBottom w:val="166"/>
          <w:divBdr>
            <w:top w:val="none" w:sz="0" w:space="0" w:color="auto"/>
            <w:left w:val="none" w:sz="0" w:space="0" w:color="auto"/>
            <w:bottom w:val="none" w:sz="0" w:space="0" w:color="auto"/>
            <w:right w:val="none" w:sz="0" w:space="0" w:color="auto"/>
          </w:divBdr>
        </w:div>
        <w:div w:id="28528777">
          <w:marLeft w:val="0"/>
          <w:marRight w:val="0"/>
          <w:marTop w:val="166"/>
          <w:marBottom w:val="166"/>
          <w:divBdr>
            <w:top w:val="none" w:sz="0" w:space="0" w:color="auto"/>
            <w:left w:val="none" w:sz="0" w:space="0" w:color="auto"/>
            <w:bottom w:val="none" w:sz="0" w:space="0" w:color="auto"/>
            <w:right w:val="none" w:sz="0" w:space="0" w:color="auto"/>
          </w:divBdr>
        </w:div>
        <w:div w:id="851453748">
          <w:marLeft w:val="0"/>
          <w:marRight w:val="0"/>
          <w:marTop w:val="166"/>
          <w:marBottom w:val="166"/>
          <w:divBdr>
            <w:top w:val="none" w:sz="0" w:space="0" w:color="auto"/>
            <w:left w:val="none" w:sz="0" w:space="0" w:color="auto"/>
            <w:bottom w:val="none" w:sz="0" w:space="0" w:color="auto"/>
            <w:right w:val="none" w:sz="0" w:space="0" w:color="auto"/>
          </w:divBdr>
        </w:div>
        <w:div w:id="106119918">
          <w:marLeft w:val="0"/>
          <w:marRight w:val="0"/>
          <w:marTop w:val="166"/>
          <w:marBottom w:val="166"/>
          <w:divBdr>
            <w:top w:val="none" w:sz="0" w:space="0" w:color="auto"/>
            <w:left w:val="none" w:sz="0" w:space="0" w:color="auto"/>
            <w:bottom w:val="none" w:sz="0" w:space="0" w:color="auto"/>
            <w:right w:val="none" w:sz="0" w:space="0" w:color="auto"/>
          </w:divBdr>
        </w:div>
        <w:div w:id="1342582435">
          <w:marLeft w:val="0"/>
          <w:marRight w:val="0"/>
          <w:marTop w:val="166"/>
          <w:marBottom w:val="166"/>
          <w:divBdr>
            <w:top w:val="none" w:sz="0" w:space="0" w:color="auto"/>
            <w:left w:val="none" w:sz="0" w:space="0" w:color="auto"/>
            <w:bottom w:val="none" w:sz="0" w:space="0" w:color="auto"/>
            <w:right w:val="none" w:sz="0" w:space="0" w:color="auto"/>
          </w:divBdr>
        </w:div>
        <w:div w:id="1210416758">
          <w:marLeft w:val="0"/>
          <w:marRight w:val="0"/>
          <w:marTop w:val="166"/>
          <w:marBottom w:val="166"/>
          <w:divBdr>
            <w:top w:val="none" w:sz="0" w:space="0" w:color="auto"/>
            <w:left w:val="none" w:sz="0" w:space="0" w:color="auto"/>
            <w:bottom w:val="none" w:sz="0" w:space="0" w:color="auto"/>
            <w:right w:val="none" w:sz="0" w:space="0" w:color="auto"/>
          </w:divBdr>
        </w:div>
        <w:div w:id="854270082">
          <w:marLeft w:val="0"/>
          <w:marRight w:val="0"/>
          <w:marTop w:val="166"/>
          <w:marBottom w:val="166"/>
          <w:divBdr>
            <w:top w:val="none" w:sz="0" w:space="0" w:color="auto"/>
            <w:left w:val="none" w:sz="0" w:space="0" w:color="auto"/>
            <w:bottom w:val="none" w:sz="0" w:space="0" w:color="auto"/>
            <w:right w:val="none" w:sz="0" w:space="0" w:color="auto"/>
          </w:divBdr>
        </w:div>
      </w:divsChild>
    </w:div>
    <w:div w:id="537664263">
      <w:bodyDiv w:val="1"/>
      <w:marLeft w:val="0"/>
      <w:marRight w:val="0"/>
      <w:marTop w:val="0"/>
      <w:marBottom w:val="0"/>
      <w:divBdr>
        <w:top w:val="none" w:sz="0" w:space="0" w:color="auto"/>
        <w:left w:val="none" w:sz="0" w:space="0" w:color="auto"/>
        <w:bottom w:val="none" w:sz="0" w:space="0" w:color="auto"/>
        <w:right w:val="none" w:sz="0" w:space="0" w:color="auto"/>
      </w:divBdr>
    </w:div>
    <w:div w:id="648174141">
      <w:bodyDiv w:val="1"/>
      <w:marLeft w:val="0"/>
      <w:marRight w:val="0"/>
      <w:marTop w:val="0"/>
      <w:marBottom w:val="0"/>
      <w:divBdr>
        <w:top w:val="none" w:sz="0" w:space="0" w:color="auto"/>
        <w:left w:val="none" w:sz="0" w:space="0" w:color="auto"/>
        <w:bottom w:val="none" w:sz="0" w:space="0" w:color="auto"/>
        <w:right w:val="none" w:sz="0" w:space="0" w:color="auto"/>
      </w:divBdr>
    </w:div>
    <w:div w:id="883517332">
      <w:bodyDiv w:val="1"/>
      <w:marLeft w:val="0"/>
      <w:marRight w:val="0"/>
      <w:marTop w:val="0"/>
      <w:marBottom w:val="0"/>
      <w:divBdr>
        <w:top w:val="none" w:sz="0" w:space="0" w:color="auto"/>
        <w:left w:val="none" w:sz="0" w:space="0" w:color="auto"/>
        <w:bottom w:val="none" w:sz="0" w:space="0" w:color="auto"/>
        <w:right w:val="none" w:sz="0" w:space="0" w:color="auto"/>
      </w:divBdr>
    </w:div>
    <w:div w:id="1283925032">
      <w:bodyDiv w:val="1"/>
      <w:marLeft w:val="0"/>
      <w:marRight w:val="0"/>
      <w:marTop w:val="0"/>
      <w:marBottom w:val="0"/>
      <w:divBdr>
        <w:top w:val="none" w:sz="0" w:space="0" w:color="auto"/>
        <w:left w:val="none" w:sz="0" w:space="0" w:color="auto"/>
        <w:bottom w:val="none" w:sz="0" w:space="0" w:color="auto"/>
        <w:right w:val="none" w:sz="0" w:space="0" w:color="auto"/>
      </w:divBdr>
    </w:div>
    <w:div w:id="1345480006">
      <w:bodyDiv w:val="1"/>
      <w:marLeft w:val="0"/>
      <w:marRight w:val="0"/>
      <w:marTop w:val="0"/>
      <w:marBottom w:val="0"/>
      <w:divBdr>
        <w:top w:val="none" w:sz="0" w:space="0" w:color="auto"/>
        <w:left w:val="none" w:sz="0" w:space="0" w:color="auto"/>
        <w:bottom w:val="none" w:sz="0" w:space="0" w:color="auto"/>
        <w:right w:val="none" w:sz="0" w:space="0" w:color="auto"/>
      </w:divBdr>
      <w:divsChild>
        <w:div w:id="381906579">
          <w:marLeft w:val="0"/>
          <w:marRight w:val="0"/>
          <w:marTop w:val="120"/>
          <w:marBottom w:val="0"/>
          <w:divBdr>
            <w:top w:val="none" w:sz="0" w:space="0" w:color="auto"/>
            <w:left w:val="none" w:sz="0" w:space="0" w:color="auto"/>
            <w:bottom w:val="none" w:sz="0" w:space="0" w:color="auto"/>
            <w:right w:val="none" w:sz="0" w:space="0" w:color="auto"/>
          </w:divBdr>
        </w:div>
        <w:div w:id="786853567">
          <w:marLeft w:val="0"/>
          <w:marRight w:val="0"/>
          <w:marTop w:val="120"/>
          <w:marBottom w:val="0"/>
          <w:divBdr>
            <w:top w:val="none" w:sz="0" w:space="0" w:color="auto"/>
            <w:left w:val="none" w:sz="0" w:space="0" w:color="auto"/>
            <w:bottom w:val="none" w:sz="0" w:space="0" w:color="auto"/>
            <w:right w:val="none" w:sz="0" w:space="0" w:color="auto"/>
          </w:divBdr>
        </w:div>
      </w:divsChild>
    </w:div>
    <w:div w:id="1613439373">
      <w:bodyDiv w:val="1"/>
      <w:marLeft w:val="0"/>
      <w:marRight w:val="0"/>
      <w:marTop w:val="0"/>
      <w:marBottom w:val="0"/>
      <w:divBdr>
        <w:top w:val="none" w:sz="0" w:space="0" w:color="auto"/>
        <w:left w:val="none" w:sz="0" w:space="0" w:color="auto"/>
        <w:bottom w:val="none" w:sz="0" w:space="0" w:color="auto"/>
        <w:right w:val="none" w:sz="0" w:space="0" w:color="auto"/>
      </w:divBdr>
    </w:div>
    <w:div w:id="1924989306">
      <w:bodyDiv w:val="1"/>
      <w:marLeft w:val="0"/>
      <w:marRight w:val="0"/>
      <w:marTop w:val="0"/>
      <w:marBottom w:val="0"/>
      <w:divBdr>
        <w:top w:val="none" w:sz="0" w:space="0" w:color="auto"/>
        <w:left w:val="none" w:sz="0" w:space="0" w:color="auto"/>
        <w:bottom w:val="none" w:sz="0" w:space="0" w:color="auto"/>
        <w:right w:val="none" w:sz="0" w:space="0" w:color="auto"/>
      </w:divBdr>
      <w:divsChild>
        <w:div w:id="2001231096">
          <w:marLeft w:val="0"/>
          <w:marRight w:val="0"/>
          <w:marTop w:val="120"/>
          <w:marBottom w:val="0"/>
          <w:divBdr>
            <w:top w:val="none" w:sz="0" w:space="0" w:color="auto"/>
            <w:left w:val="none" w:sz="0" w:space="0" w:color="auto"/>
            <w:bottom w:val="none" w:sz="0" w:space="0" w:color="auto"/>
            <w:right w:val="none" w:sz="0" w:space="0" w:color="auto"/>
          </w:divBdr>
        </w:div>
        <w:div w:id="754982146">
          <w:marLeft w:val="0"/>
          <w:marRight w:val="0"/>
          <w:marTop w:val="120"/>
          <w:marBottom w:val="0"/>
          <w:divBdr>
            <w:top w:val="none" w:sz="0" w:space="0" w:color="auto"/>
            <w:left w:val="none" w:sz="0" w:space="0" w:color="auto"/>
            <w:bottom w:val="none" w:sz="0" w:space="0" w:color="auto"/>
            <w:right w:val="none" w:sz="0" w:space="0" w:color="auto"/>
          </w:divBdr>
        </w:div>
      </w:divsChild>
    </w:div>
    <w:div w:id="1970479366">
      <w:bodyDiv w:val="1"/>
      <w:marLeft w:val="0"/>
      <w:marRight w:val="0"/>
      <w:marTop w:val="0"/>
      <w:marBottom w:val="0"/>
      <w:divBdr>
        <w:top w:val="none" w:sz="0" w:space="0" w:color="auto"/>
        <w:left w:val="none" w:sz="0" w:space="0" w:color="auto"/>
        <w:bottom w:val="none" w:sz="0" w:space="0" w:color="auto"/>
        <w:right w:val="none" w:sz="0" w:space="0" w:color="auto"/>
      </w:divBdr>
    </w:div>
    <w:div w:id="21004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sg.sph.umich.edu/abecasis/cats/gas_power_calculato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63B0-4A08-4612-97CD-B77E43D7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8918</Words>
  <Characters>50836</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2019-05-13T13:28:00Z</dcterms:created>
  <dcterms:modified xsi:type="dcterms:W3CDTF">2020-01-23T02:26:00Z</dcterms:modified>
</cp:coreProperties>
</file>